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ED03" w14:textId="3B0B4214" w:rsidR="00535242" w:rsidRDefault="00B27127" w:rsidP="00227FB9">
      <w:pPr>
        <w:pStyle w:val="Title"/>
      </w:pPr>
      <w:r>
        <w:t>N</w:t>
      </w:r>
      <w:r w:rsidR="00535242">
        <w:t xml:space="preserve">ational </w:t>
      </w:r>
      <w:r w:rsidR="00117044">
        <w:t>o</w:t>
      </w:r>
      <w:r w:rsidR="00535242">
        <w:t xml:space="preserve">utreach </w:t>
      </w:r>
      <w:r w:rsidR="00117044">
        <w:t>c</w:t>
      </w:r>
      <w:r w:rsidR="00535242">
        <w:t xml:space="preserve">overage </w:t>
      </w:r>
      <w:r w:rsidR="00F06549">
        <w:t>d</w:t>
      </w:r>
      <w:r w:rsidR="00535242">
        <w:t xml:space="preserve">ataset </w:t>
      </w:r>
    </w:p>
    <w:p w14:paraId="2F4C82FD" w14:textId="6E83EE93" w:rsidR="007838C0" w:rsidRDefault="007838C0" w:rsidP="00535242">
      <w:pPr>
        <w:rPr>
          <w:b/>
          <w:bCs/>
        </w:rPr>
      </w:pPr>
    </w:p>
    <w:p w14:paraId="1F6DE4E5" w14:textId="005FD302" w:rsidR="007838C0" w:rsidRPr="000E7D2E" w:rsidRDefault="007838C0" w:rsidP="00535242">
      <w:pPr>
        <w:rPr>
          <w:b/>
        </w:rPr>
      </w:pPr>
      <w:r>
        <w:rPr>
          <w:b/>
          <w:bCs/>
        </w:rPr>
        <w:t xml:space="preserve">This document provides information about a new dataset </w:t>
      </w:r>
      <w:r w:rsidR="00844D83">
        <w:rPr>
          <w:b/>
          <w:bCs/>
        </w:rPr>
        <w:t>containing</w:t>
      </w:r>
      <w:r>
        <w:rPr>
          <w:b/>
          <w:bCs/>
        </w:rPr>
        <w:t xml:space="preserve"> outreach </w:t>
      </w:r>
      <w:r w:rsidR="00FF3DA0">
        <w:rPr>
          <w:b/>
          <w:bCs/>
        </w:rPr>
        <w:t xml:space="preserve">activities </w:t>
      </w:r>
      <w:r>
        <w:rPr>
          <w:b/>
          <w:bCs/>
        </w:rPr>
        <w:t xml:space="preserve">delivered to </w:t>
      </w:r>
      <w:r w:rsidR="004D663C">
        <w:rPr>
          <w:b/>
          <w:bCs/>
        </w:rPr>
        <w:t xml:space="preserve">all </w:t>
      </w:r>
      <w:r w:rsidR="00677AFD">
        <w:rPr>
          <w:b/>
          <w:bCs/>
        </w:rPr>
        <w:t>schools and further education colleges in England by providers</w:t>
      </w:r>
      <w:r w:rsidR="004D663C">
        <w:rPr>
          <w:b/>
          <w:bCs/>
        </w:rPr>
        <w:t xml:space="preserve">, </w:t>
      </w:r>
      <w:r w:rsidR="00CD201D">
        <w:rPr>
          <w:b/>
          <w:bCs/>
        </w:rPr>
        <w:t xml:space="preserve">Uni Connect and </w:t>
      </w:r>
      <w:r w:rsidR="004D663C">
        <w:rPr>
          <w:b/>
          <w:bCs/>
        </w:rPr>
        <w:t>chari</w:t>
      </w:r>
      <w:r w:rsidR="00AC419D">
        <w:rPr>
          <w:b/>
          <w:bCs/>
        </w:rPr>
        <w:t>ti</w:t>
      </w:r>
      <w:r w:rsidR="004D663C">
        <w:rPr>
          <w:b/>
          <w:bCs/>
        </w:rPr>
        <w:t>es</w:t>
      </w:r>
      <w:r w:rsidR="00AF6BBB">
        <w:rPr>
          <w:b/>
          <w:bCs/>
        </w:rPr>
        <w:t>.</w:t>
      </w:r>
    </w:p>
    <w:p w14:paraId="446A3691" w14:textId="7B2B4708" w:rsidR="00535242" w:rsidRDefault="00535242" w:rsidP="00535242">
      <w:r>
        <w:t xml:space="preserve">The dataset </w:t>
      </w:r>
      <w:r w:rsidR="00B43E3F">
        <w:t>is publicly available as an Excel spreadsheet</w:t>
      </w:r>
      <w:r w:rsidR="00FA66F8">
        <w:t xml:space="preserve"> and </w:t>
      </w:r>
      <w:r>
        <w:t xml:space="preserve">includes data recorded by </w:t>
      </w:r>
      <w:r w:rsidR="00416DD9">
        <w:t xml:space="preserve">higher education </w:t>
      </w:r>
      <w:r w:rsidR="00CB6732">
        <w:t>o</w:t>
      </w:r>
      <w:r>
        <w:t xml:space="preserve">utreach </w:t>
      </w:r>
      <w:r w:rsidR="00CB6732">
        <w:t>p</w:t>
      </w:r>
      <w:r>
        <w:t>roviders</w:t>
      </w:r>
      <w:r w:rsidR="00366891">
        <w:t>, who are members of tracking service</w:t>
      </w:r>
      <w:r w:rsidR="00FE0E99">
        <w:t>s</w:t>
      </w:r>
      <w:r w:rsidR="00A706A3">
        <w:t xml:space="preserve"> and</w:t>
      </w:r>
      <w:r w:rsidR="003070DA">
        <w:t xml:space="preserve"> </w:t>
      </w:r>
      <w:r>
        <w:t xml:space="preserve">currently delivering </w:t>
      </w:r>
      <w:r w:rsidR="00CB6732">
        <w:t>w</w:t>
      </w:r>
      <w:r>
        <w:t xml:space="preserve">idening </w:t>
      </w:r>
      <w:r w:rsidR="00CB6732">
        <w:t>p</w:t>
      </w:r>
      <w:r>
        <w:t xml:space="preserve">articipation outreach activities in schools and </w:t>
      </w:r>
      <w:r w:rsidR="00D313F0">
        <w:t xml:space="preserve">further </w:t>
      </w:r>
      <w:r>
        <w:t>colleges</w:t>
      </w:r>
      <w:r w:rsidR="006A0298">
        <w:t xml:space="preserve"> </w:t>
      </w:r>
      <w:r w:rsidR="00D313F0">
        <w:t xml:space="preserve">(FEC) </w:t>
      </w:r>
      <w:r w:rsidR="006A0298">
        <w:t>in England</w:t>
      </w:r>
      <w:r>
        <w:t>. For a full list of project partners please see Appendix 1.</w:t>
      </w:r>
    </w:p>
    <w:p w14:paraId="39BC2C99" w14:textId="46510AD9" w:rsidR="00535242" w:rsidRDefault="00535242" w:rsidP="00535242">
      <w:r w:rsidRPr="00D77FBE">
        <w:t xml:space="preserve">This is the first release of this dataset. It is currently considered </w:t>
      </w:r>
      <w:r w:rsidR="00D313F0">
        <w:t xml:space="preserve">as </w:t>
      </w:r>
      <w:r w:rsidRPr="00D77FBE">
        <w:t>an</w:t>
      </w:r>
      <w:r w:rsidR="00D313F0">
        <w:t xml:space="preserve"> </w:t>
      </w:r>
      <w:r w:rsidRPr="00D77FBE">
        <w:t>experimental dataset and as such we are keen to hear feedback from end users.</w:t>
      </w:r>
    </w:p>
    <w:p w14:paraId="58A4FD27" w14:textId="35F4954D" w:rsidR="00535242" w:rsidRPr="00047F05" w:rsidRDefault="00AD0652" w:rsidP="00535242">
      <w:pPr>
        <w:rPr>
          <w:b/>
          <w:bCs/>
        </w:rPr>
      </w:pPr>
      <w:r>
        <w:rPr>
          <w:b/>
          <w:bCs/>
        </w:rPr>
        <w:t>How to use the dataset</w:t>
      </w:r>
    </w:p>
    <w:p w14:paraId="4C909829" w14:textId="1888B336" w:rsidR="00535242" w:rsidRDefault="00535242" w:rsidP="00535242">
      <w:r>
        <w:t>It is important to note that the aim of this dataset is not to show the impact of outreach, but simply to show the outreach activities delivered during academic years 2017/18</w:t>
      </w:r>
      <w:r w:rsidR="00EA7D73">
        <w:t xml:space="preserve"> to </w:t>
      </w:r>
      <w:r>
        <w:t xml:space="preserve">2019/20. The </w:t>
      </w:r>
      <w:r w:rsidR="00DC7320">
        <w:t>u</w:t>
      </w:r>
      <w:r>
        <w:t xml:space="preserve">nique </w:t>
      </w:r>
      <w:r w:rsidR="00DC7320">
        <w:t>r</w:t>
      </w:r>
      <w:r>
        <w:t xml:space="preserve">eference </w:t>
      </w:r>
      <w:r w:rsidR="00DC7320">
        <w:t>n</w:t>
      </w:r>
      <w:r>
        <w:t xml:space="preserve">umber (URN) of each institution is shown so that it can be linked to other datasets for further analysis. If your organisation is a member of a </w:t>
      </w:r>
      <w:r w:rsidR="008262CE">
        <w:t>t</w:t>
      </w:r>
      <w:r>
        <w:t xml:space="preserve">racking </w:t>
      </w:r>
      <w:r w:rsidR="008262CE">
        <w:t>s</w:t>
      </w:r>
      <w:r>
        <w:t xml:space="preserve">ervice, you may wish to consider </w:t>
      </w:r>
      <w:r w:rsidR="00BF6941">
        <w:t xml:space="preserve">linking </w:t>
      </w:r>
      <w:r>
        <w:t xml:space="preserve">this dataset to the </w:t>
      </w:r>
      <w:r w:rsidR="00665774">
        <w:t>p</w:t>
      </w:r>
      <w:r>
        <w:t xml:space="preserve">lanning </w:t>
      </w:r>
      <w:r w:rsidR="003B6B5C">
        <w:t>d</w:t>
      </w:r>
      <w:r>
        <w:t xml:space="preserve">atasets provided by </w:t>
      </w:r>
      <w:r w:rsidR="00A97E7C">
        <w:t>t</w:t>
      </w:r>
      <w:r>
        <w:t>rackers to their members.</w:t>
      </w:r>
    </w:p>
    <w:p w14:paraId="0B4B7BE6" w14:textId="40B3CBB0" w:rsidR="00535242" w:rsidRDefault="00535242" w:rsidP="00535242">
      <w:r>
        <w:t xml:space="preserve">The inclusion of </w:t>
      </w:r>
      <w:r w:rsidR="00BF6941">
        <w:t>‘</w:t>
      </w:r>
      <w:r>
        <w:t>% eligible FSM</w:t>
      </w:r>
      <w:r w:rsidR="00E9101A">
        <w:t>’ in the data file</w:t>
      </w:r>
      <w:r>
        <w:t xml:space="preserve"> denot</w:t>
      </w:r>
      <w:r w:rsidR="00E9101A">
        <w:t>es</w:t>
      </w:r>
      <w:r>
        <w:t xml:space="preserve"> the percentage of school learners on Free School Meals</w:t>
      </w:r>
      <w:r w:rsidR="000C4B64">
        <w:t>. It</w:t>
      </w:r>
      <w:r>
        <w:t xml:space="preserve"> is intended as a simple, publicly available proxy for deprivation. In practice, </w:t>
      </w:r>
      <w:r w:rsidR="000C4B64">
        <w:t>o</w:t>
      </w:r>
      <w:r>
        <w:t xml:space="preserve">utreach </w:t>
      </w:r>
      <w:r w:rsidR="000C4B64">
        <w:t>p</w:t>
      </w:r>
      <w:r>
        <w:t>roviders use a whole range of targeting criteria when selecting schools</w:t>
      </w:r>
      <w:r w:rsidR="00E4725A">
        <w:t xml:space="preserve"> or </w:t>
      </w:r>
      <w:r>
        <w:t xml:space="preserve">colleges for outreach activities. We recommend users link this dataset with the </w:t>
      </w:r>
      <w:r w:rsidR="00665774">
        <w:t>p</w:t>
      </w:r>
      <w:r>
        <w:t xml:space="preserve">lanning </w:t>
      </w:r>
      <w:r w:rsidR="00665774">
        <w:t>d</w:t>
      </w:r>
      <w:r>
        <w:t xml:space="preserve">atasets provided by their </w:t>
      </w:r>
      <w:r w:rsidR="00665774">
        <w:t>t</w:t>
      </w:r>
      <w:r>
        <w:t xml:space="preserve">racking </w:t>
      </w:r>
      <w:r w:rsidR="00665774">
        <w:t>s</w:t>
      </w:r>
      <w:r>
        <w:t xml:space="preserve">ervice </w:t>
      </w:r>
      <w:proofErr w:type="gramStart"/>
      <w:r>
        <w:t>in order to</w:t>
      </w:r>
      <w:proofErr w:type="gramEnd"/>
      <w:r>
        <w:t xml:space="preserve"> include proxies for disadvantage other than FSM, such as</w:t>
      </w:r>
      <w:r w:rsidR="006D1570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="006D1570" w:rsidRPr="000E7D2E">
        <w:t>participation of local areas</w:t>
      </w:r>
      <w:r w:rsidR="006D1570">
        <w:t xml:space="preserve"> </w:t>
      </w:r>
      <w:r w:rsidR="00AA3AAC">
        <w:t>(</w:t>
      </w:r>
      <w:r>
        <w:t>POLAR4</w:t>
      </w:r>
      <w:r w:rsidR="00AA3AAC">
        <w:t>)</w:t>
      </w:r>
      <w:r>
        <w:t xml:space="preserve">, </w:t>
      </w:r>
      <w:r w:rsidR="00AA3AAC">
        <w:t>i</w:t>
      </w:r>
      <w:r w:rsidR="00C72D82">
        <w:t>ndices of multiple deprivation (</w:t>
      </w:r>
      <w:r>
        <w:t>IMD</w:t>
      </w:r>
      <w:r w:rsidR="00C72D82">
        <w:t>)</w:t>
      </w:r>
      <w:r>
        <w:t xml:space="preserve"> and </w:t>
      </w:r>
      <w:r w:rsidR="00AA3AAC">
        <w:t>i</w:t>
      </w:r>
      <w:r w:rsidR="00C72D82">
        <w:t>ncome deprivation affecting children index (</w:t>
      </w:r>
      <w:r>
        <w:t>IDACI</w:t>
      </w:r>
      <w:r w:rsidR="00C72D82">
        <w:t>)</w:t>
      </w:r>
      <w:r>
        <w:t>.</w:t>
      </w:r>
    </w:p>
    <w:p w14:paraId="69DCE75E" w14:textId="466BEB1D" w:rsidR="00535242" w:rsidRDefault="00FC1CCD" w:rsidP="00535242">
      <w:r>
        <w:rPr>
          <w:b/>
          <w:bCs/>
        </w:rPr>
        <w:t xml:space="preserve">What the dataset </w:t>
      </w:r>
      <w:r w:rsidR="00C91093">
        <w:rPr>
          <w:b/>
          <w:bCs/>
        </w:rPr>
        <w:t>enables</w:t>
      </w:r>
      <w:r>
        <w:rPr>
          <w:b/>
          <w:bCs/>
        </w:rPr>
        <w:t xml:space="preserve"> you</w:t>
      </w:r>
      <w:r w:rsidR="00C91093">
        <w:rPr>
          <w:b/>
          <w:bCs/>
        </w:rPr>
        <w:t xml:space="preserve"> to do</w:t>
      </w:r>
    </w:p>
    <w:p w14:paraId="5AA4DF8F" w14:textId="756D3C9C" w:rsidR="00535242" w:rsidRDefault="00DD67A8" w:rsidP="00535242">
      <w:pPr>
        <w:pStyle w:val="ListParagraph"/>
        <w:numPr>
          <w:ilvl w:val="0"/>
          <w:numId w:val="2"/>
        </w:numPr>
      </w:pPr>
      <w:r>
        <w:rPr>
          <w:b/>
          <w:bCs/>
        </w:rPr>
        <w:t>I</w:t>
      </w:r>
      <w:r w:rsidR="00535242" w:rsidRPr="000E7D2E">
        <w:rPr>
          <w:b/>
          <w:bCs/>
        </w:rPr>
        <w:t>dentify</w:t>
      </w:r>
      <w:r w:rsidR="00535242" w:rsidRPr="0046716C">
        <w:t xml:space="preserve"> </w:t>
      </w:r>
      <w:r w:rsidR="00535242" w:rsidRPr="000E7D2E">
        <w:rPr>
          <w:b/>
        </w:rPr>
        <w:t>schools and colleges in England which have received relatively little outreach delivery over the last three academic years.</w:t>
      </w:r>
      <w:r w:rsidR="00535242">
        <w:t xml:space="preserve">  Providers </w:t>
      </w:r>
      <w:r w:rsidR="003F7970">
        <w:t>can</w:t>
      </w:r>
      <w:r w:rsidR="00535242">
        <w:t xml:space="preserve"> use this information to inform </w:t>
      </w:r>
      <w:r w:rsidR="005B7DE7">
        <w:t xml:space="preserve">them </w:t>
      </w:r>
      <w:r w:rsidR="00535242">
        <w:t xml:space="preserve">which schools and FE colleges they </w:t>
      </w:r>
      <w:r w:rsidR="005B7DE7">
        <w:t>could</w:t>
      </w:r>
      <w:r w:rsidR="00535242">
        <w:t xml:space="preserve"> target in the future, </w:t>
      </w:r>
      <w:r w:rsidR="005B7DE7">
        <w:t xml:space="preserve">to </w:t>
      </w:r>
      <w:r w:rsidR="00535242">
        <w:t>ensur</w:t>
      </w:r>
      <w:r w:rsidR="005B7DE7">
        <w:t>e</w:t>
      </w:r>
      <w:r w:rsidR="00535242">
        <w:t xml:space="preserve"> </w:t>
      </w:r>
      <w:r w:rsidR="00731F24">
        <w:t xml:space="preserve">their </w:t>
      </w:r>
      <w:r w:rsidR="00535242">
        <w:t xml:space="preserve">coverage of outreach is maximised within their operational area. Please Note: The latest delivery year (2019/20) includes outreach delivered during the COVID-19 pandemic </w:t>
      </w:r>
      <w:r w:rsidR="0063380F">
        <w:t>where</w:t>
      </w:r>
      <w:r w:rsidR="00535242">
        <w:t xml:space="preserve"> delivery is likely to differ from previous years.</w:t>
      </w:r>
    </w:p>
    <w:p w14:paraId="022145B2" w14:textId="54A08FB8" w:rsidR="00535242" w:rsidRDefault="00DD67A8" w:rsidP="00535242">
      <w:pPr>
        <w:pStyle w:val="ListParagraph"/>
        <w:numPr>
          <w:ilvl w:val="0"/>
          <w:numId w:val="2"/>
        </w:numPr>
      </w:pPr>
      <w:r>
        <w:rPr>
          <w:b/>
          <w:bCs/>
        </w:rPr>
        <w:t>I</w:t>
      </w:r>
      <w:r w:rsidR="00535242" w:rsidRPr="000E7D2E">
        <w:rPr>
          <w:b/>
          <w:bCs/>
        </w:rPr>
        <w:t>dentify</w:t>
      </w:r>
      <w:r w:rsidR="00535242" w:rsidRPr="000E7D2E">
        <w:rPr>
          <w:b/>
        </w:rPr>
        <w:t xml:space="preserve"> schools and colleges in England which have or have not received certain types of activities over the last three academic years.</w:t>
      </w:r>
      <w:r w:rsidR="00535242">
        <w:t xml:space="preserve">  Providers </w:t>
      </w:r>
      <w:r w:rsidR="00974983">
        <w:t>could</w:t>
      </w:r>
      <w:r w:rsidR="00535242">
        <w:t xml:space="preserve"> use this information to inform the nature of the outreach offer they target towards these schools</w:t>
      </w:r>
      <w:r w:rsidR="009C39E1">
        <w:t xml:space="preserve"> and </w:t>
      </w:r>
      <w:r w:rsidR="00535242">
        <w:t>colleges in the future, ensuring coverage of outreach is optimal within their operational area.</w:t>
      </w:r>
      <w:r w:rsidR="00EB7889">
        <w:t xml:space="preserve"> </w:t>
      </w:r>
    </w:p>
    <w:p w14:paraId="517B81D9" w14:textId="51B5A8EB" w:rsidR="00535242" w:rsidRDefault="00DD67A8" w:rsidP="00535242">
      <w:pPr>
        <w:pStyle w:val="ListParagraph"/>
        <w:numPr>
          <w:ilvl w:val="0"/>
          <w:numId w:val="2"/>
        </w:numPr>
      </w:pPr>
      <w:r>
        <w:rPr>
          <w:b/>
          <w:bCs/>
        </w:rPr>
        <w:t>I</w:t>
      </w:r>
      <w:r w:rsidR="00535242" w:rsidRPr="000E7D2E">
        <w:rPr>
          <w:b/>
          <w:bCs/>
        </w:rPr>
        <w:t>dentify</w:t>
      </w:r>
      <w:r w:rsidR="00535242" w:rsidRPr="000E7D2E">
        <w:rPr>
          <w:b/>
        </w:rPr>
        <w:t xml:space="preserve"> schools and colleges in England which appear to have received disproportionately high volumes of outreach delivery over the last three academic years.</w:t>
      </w:r>
      <w:r w:rsidR="00535242">
        <w:t xml:space="preserve">  Providers </w:t>
      </w:r>
      <w:r w:rsidR="00A4089F">
        <w:t>can</w:t>
      </w:r>
      <w:r w:rsidR="00535242">
        <w:t xml:space="preserve"> use this information to inform which schools and FE colleges to target in the future, although </w:t>
      </w:r>
      <w:r w:rsidR="006F3D1C">
        <w:t xml:space="preserve">we must be careful to understand why a school has received such high levels of outreach and only reduce if it can be better targeted elsewhere. </w:t>
      </w:r>
      <w:r w:rsidR="00535242">
        <w:t xml:space="preserve">not. It is also important to </w:t>
      </w:r>
      <w:proofErr w:type="gramStart"/>
      <w:r w:rsidR="00535242">
        <w:t>take into account</w:t>
      </w:r>
      <w:proofErr w:type="gramEnd"/>
      <w:r w:rsidR="00535242">
        <w:t xml:space="preserve"> the overall school</w:t>
      </w:r>
      <w:r w:rsidR="00A4089F">
        <w:t xml:space="preserve"> and</w:t>
      </w:r>
      <w:r w:rsidR="00922D4F">
        <w:t xml:space="preserve"> </w:t>
      </w:r>
      <w:r w:rsidR="00535242">
        <w:t>college population in a region, detailed at school</w:t>
      </w:r>
      <w:r w:rsidR="004A2DEB">
        <w:t xml:space="preserve"> and</w:t>
      </w:r>
      <w:r w:rsidR="000715D7">
        <w:t xml:space="preserve"> </w:t>
      </w:r>
      <w:r w:rsidR="00535242">
        <w:t xml:space="preserve">college level in the </w:t>
      </w:r>
      <w:r w:rsidR="004A2DEB">
        <w:t>‘n</w:t>
      </w:r>
      <w:r w:rsidR="00535242">
        <w:t xml:space="preserve">umber of </w:t>
      </w:r>
      <w:r w:rsidR="004A2DEB">
        <w:t>p</w:t>
      </w:r>
      <w:r w:rsidR="00535242">
        <w:t>upils</w:t>
      </w:r>
      <w:r w:rsidR="004A2DEB">
        <w:t>’</w:t>
      </w:r>
      <w:r w:rsidR="00535242">
        <w:t xml:space="preserve"> column and the profile of those students, indicated in the </w:t>
      </w:r>
      <w:r w:rsidR="004A2DEB">
        <w:t>‘</w:t>
      </w:r>
      <w:r w:rsidR="00535242">
        <w:t>% eligible FSM</w:t>
      </w:r>
      <w:r w:rsidR="004A2DEB">
        <w:t>’</w:t>
      </w:r>
      <w:r w:rsidR="00535242">
        <w:t xml:space="preserve"> column, when identifying over-served schools/colleges.</w:t>
      </w:r>
    </w:p>
    <w:p w14:paraId="0A3146EB" w14:textId="4C9A030B" w:rsidR="00535242" w:rsidRDefault="00535242" w:rsidP="00535242">
      <w:pPr>
        <w:pStyle w:val="ListParagraph"/>
        <w:numPr>
          <w:ilvl w:val="0"/>
          <w:numId w:val="2"/>
        </w:numPr>
      </w:pPr>
      <w:r w:rsidRPr="67EA387F">
        <w:rPr>
          <w:b/>
        </w:rPr>
        <w:lastRenderedPageBreak/>
        <w:t xml:space="preserve">To determine how many other </w:t>
      </w:r>
      <w:r w:rsidR="0046716C" w:rsidRPr="67EA387F">
        <w:rPr>
          <w:b/>
          <w:bCs/>
        </w:rPr>
        <w:t>p</w:t>
      </w:r>
      <w:r w:rsidRPr="67EA387F">
        <w:rPr>
          <w:b/>
          <w:bCs/>
        </w:rPr>
        <w:t xml:space="preserve">roviders are </w:t>
      </w:r>
      <w:r w:rsidRPr="67EA387F">
        <w:rPr>
          <w:b/>
        </w:rPr>
        <w:t>working in schools</w:t>
      </w:r>
      <w:r w:rsidR="0046716C">
        <w:rPr>
          <w:b/>
          <w:bCs/>
        </w:rPr>
        <w:t xml:space="preserve"> and</w:t>
      </w:r>
      <w:r w:rsidR="07CE7C86" w:rsidRPr="67EA387F">
        <w:rPr>
          <w:b/>
          <w:bCs/>
        </w:rPr>
        <w:t xml:space="preserve"> </w:t>
      </w:r>
      <w:r w:rsidRPr="67EA387F">
        <w:rPr>
          <w:b/>
        </w:rPr>
        <w:t>colleges in your operational area.</w:t>
      </w:r>
      <w:r>
        <w:t xml:space="preserve"> </w:t>
      </w:r>
      <w:r w:rsidR="00A56B3C">
        <w:t>The dataset shows which providers are engaging in outreach</w:t>
      </w:r>
      <w:r w:rsidR="006F5BA5">
        <w:t xml:space="preserve"> </w:t>
      </w:r>
      <w:r w:rsidR="00F67116">
        <w:t xml:space="preserve">in </w:t>
      </w:r>
      <w:r w:rsidR="00B25A2D">
        <w:t>you</w:t>
      </w:r>
      <w:r w:rsidR="005949FF">
        <w:t>r</w:t>
      </w:r>
      <w:r w:rsidR="00B25A2D">
        <w:t xml:space="preserve"> area and</w:t>
      </w:r>
      <w:r w:rsidR="00C17301">
        <w:t xml:space="preserve"> may</w:t>
      </w:r>
      <w:r w:rsidR="00B25A2D">
        <w:t xml:space="preserve"> help explain why</w:t>
      </w:r>
      <w:r w:rsidR="006A2558">
        <w:t xml:space="preserve"> you </w:t>
      </w:r>
      <w:r w:rsidR="007F24DC">
        <w:t>have not been able to engage</w:t>
      </w:r>
      <w:r w:rsidR="005949FF">
        <w:t xml:space="preserve"> with certain schools and colleges</w:t>
      </w:r>
      <w:r w:rsidR="006F5BA5">
        <w:t xml:space="preserve">. </w:t>
      </w:r>
    </w:p>
    <w:p w14:paraId="1F7A4AC3" w14:textId="4D93BBB7" w:rsidR="00535242" w:rsidRDefault="00535242" w:rsidP="00535242">
      <w:pPr>
        <w:pStyle w:val="ListParagraph"/>
        <w:numPr>
          <w:ilvl w:val="0"/>
          <w:numId w:val="2"/>
        </w:numPr>
      </w:pPr>
      <w:r w:rsidRPr="000E7D2E">
        <w:rPr>
          <w:b/>
        </w:rPr>
        <w:t xml:space="preserve">To facilitate collaboration between </w:t>
      </w:r>
      <w:r w:rsidR="008D0A32">
        <w:rPr>
          <w:b/>
          <w:bCs/>
        </w:rPr>
        <w:t>p</w:t>
      </w:r>
      <w:r w:rsidRPr="000E7D2E">
        <w:rPr>
          <w:b/>
        </w:rPr>
        <w:t>roviders working in nearby areas</w:t>
      </w:r>
      <w:r>
        <w:t xml:space="preserve">. The dataset provides activity counts by </w:t>
      </w:r>
      <w:r w:rsidR="006A2558">
        <w:t>t</w:t>
      </w:r>
      <w:r>
        <w:t xml:space="preserve">ype of </w:t>
      </w:r>
      <w:r w:rsidR="006A2558">
        <w:t>a</w:t>
      </w:r>
      <w:r>
        <w:t xml:space="preserve">ctivity and </w:t>
      </w:r>
      <w:r w:rsidR="006A2558">
        <w:t>t</w:t>
      </w:r>
      <w:r>
        <w:t xml:space="preserve">ype of </w:t>
      </w:r>
      <w:r w:rsidR="00741B51">
        <w:t>p</w:t>
      </w:r>
      <w:r>
        <w:t>rovider</w:t>
      </w:r>
      <w:r w:rsidR="006A2558">
        <w:t xml:space="preserve">: </w:t>
      </w:r>
      <w:r w:rsidR="008D0A32">
        <w:t>h</w:t>
      </w:r>
      <w:r w:rsidR="006A2558">
        <w:t>igher education providers (</w:t>
      </w:r>
      <w:r>
        <w:t>HEIs</w:t>
      </w:r>
      <w:r w:rsidR="006A2558">
        <w:t>)</w:t>
      </w:r>
      <w:r>
        <w:t xml:space="preserve">, Uni Connect </w:t>
      </w:r>
      <w:r w:rsidR="00741B51">
        <w:t>p</w:t>
      </w:r>
      <w:r>
        <w:t xml:space="preserve">artnerships and </w:t>
      </w:r>
      <w:r w:rsidR="00741B51">
        <w:t>t</w:t>
      </w:r>
      <w:r>
        <w:t xml:space="preserve">hird </w:t>
      </w:r>
      <w:r w:rsidR="00741B51">
        <w:t>s</w:t>
      </w:r>
      <w:r>
        <w:t xml:space="preserve">ector </w:t>
      </w:r>
      <w:r w:rsidR="00741B51">
        <w:t>o</w:t>
      </w:r>
      <w:r>
        <w:t xml:space="preserve">rganisations. Where </w:t>
      </w:r>
      <w:r w:rsidR="006A2558">
        <w:t>p</w:t>
      </w:r>
      <w:r>
        <w:t xml:space="preserve">roviders are not currently sharing data, this dataset </w:t>
      </w:r>
      <w:r w:rsidR="00AB2142">
        <w:t>can</w:t>
      </w:r>
      <w:r w:rsidR="00B45ACC">
        <w:t xml:space="preserve"> </w:t>
      </w:r>
      <w:r>
        <w:t xml:space="preserve">help </w:t>
      </w:r>
      <w:r w:rsidR="00AB2142">
        <w:t>p</w:t>
      </w:r>
      <w:r>
        <w:t xml:space="preserve">roviders work together to ensure coverage of outreach is maximised and activities offered by different </w:t>
      </w:r>
      <w:r w:rsidR="00AB2142">
        <w:t>p</w:t>
      </w:r>
      <w:r>
        <w:t xml:space="preserve">roviders complement each other. The dataset may also help support Uni Connect </w:t>
      </w:r>
      <w:r w:rsidR="00B9726C">
        <w:t>p</w:t>
      </w:r>
      <w:r>
        <w:t>artnerships ensure there is minimal overlap with HEI</w:t>
      </w:r>
      <w:r w:rsidR="00B9726C">
        <w:t>-</w:t>
      </w:r>
      <w:r>
        <w:t>delivered outreach in their area.</w:t>
      </w:r>
    </w:p>
    <w:p w14:paraId="3192E6D1" w14:textId="3795376B" w:rsidR="00535242" w:rsidRDefault="00535242" w:rsidP="00535242">
      <w:pPr>
        <w:pStyle w:val="ListParagraph"/>
        <w:numPr>
          <w:ilvl w:val="0"/>
          <w:numId w:val="2"/>
        </w:numPr>
      </w:pPr>
      <w:r w:rsidRPr="000E7D2E">
        <w:rPr>
          <w:b/>
        </w:rPr>
        <w:t xml:space="preserve">The dataset may also be of value in identifying 'hot' and 'cold' spots nationally, as well as the contribution of different </w:t>
      </w:r>
      <w:r w:rsidR="003019FF">
        <w:rPr>
          <w:b/>
          <w:bCs/>
        </w:rPr>
        <w:t>t</w:t>
      </w:r>
      <w:r w:rsidRPr="000E7D2E">
        <w:rPr>
          <w:b/>
          <w:bCs/>
        </w:rPr>
        <w:t>ypes</w:t>
      </w:r>
      <w:r w:rsidRPr="000E7D2E">
        <w:rPr>
          <w:b/>
        </w:rPr>
        <w:t xml:space="preserve"> of </w:t>
      </w:r>
      <w:proofErr w:type="gramStart"/>
      <w:r w:rsidR="00581EF8">
        <w:rPr>
          <w:b/>
          <w:bCs/>
        </w:rPr>
        <w:t>p</w:t>
      </w:r>
      <w:r w:rsidRPr="000E7D2E">
        <w:rPr>
          <w:b/>
          <w:bCs/>
        </w:rPr>
        <w:t>rovider</w:t>
      </w:r>
      <w:proofErr w:type="gramEnd"/>
      <w:r w:rsidRPr="000E7D2E">
        <w:rPr>
          <w:b/>
        </w:rPr>
        <w:t xml:space="preserve"> to all outreach delivered nationally.</w:t>
      </w:r>
      <w:r>
        <w:t xml:space="preserve"> However, a note of caution here</w:t>
      </w:r>
      <w:r w:rsidR="00781741">
        <w:t xml:space="preserve">. </w:t>
      </w:r>
      <w:r>
        <w:t xml:space="preserve"> </w:t>
      </w:r>
      <w:r w:rsidR="00781741">
        <w:t>A</w:t>
      </w:r>
      <w:r>
        <w:t xml:space="preserve">s discussed in more detail in the </w:t>
      </w:r>
      <w:r w:rsidR="00604C5F">
        <w:t>l</w:t>
      </w:r>
      <w:r>
        <w:t>imitations section</w:t>
      </w:r>
      <w:r w:rsidR="00E30AB7">
        <w:t xml:space="preserve"> below</w:t>
      </w:r>
      <w:r>
        <w:t>, there are likely to be regional differences in the extent of the original data capture of outreach delivery. Therefore</w:t>
      </w:r>
      <w:r w:rsidR="0001336F">
        <w:t>,</w:t>
      </w:r>
      <w:r>
        <w:t xml:space="preserve"> comparisons of outreach delivery between regions </w:t>
      </w:r>
      <w:r w:rsidR="00F85F0E">
        <w:t>are</w:t>
      </w:r>
      <w:r w:rsidR="0025538F">
        <w:t xml:space="preserve"> </w:t>
      </w:r>
      <w:r>
        <w:t xml:space="preserve">not advised, as in some regions outreach delivery has been relatively under-recorded. </w:t>
      </w:r>
    </w:p>
    <w:p w14:paraId="6BADC0CE" w14:textId="186968A3" w:rsidR="00535242" w:rsidRPr="00047F05" w:rsidRDefault="00535242" w:rsidP="00535242">
      <w:pPr>
        <w:rPr>
          <w:b/>
          <w:bCs/>
        </w:rPr>
      </w:pPr>
      <w:r w:rsidRPr="00047F05">
        <w:rPr>
          <w:b/>
          <w:bCs/>
        </w:rPr>
        <w:t xml:space="preserve">How the </w:t>
      </w:r>
      <w:r w:rsidR="00A526CE">
        <w:rPr>
          <w:b/>
          <w:bCs/>
        </w:rPr>
        <w:t>d</w:t>
      </w:r>
      <w:r w:rsidRPr="00047F05">
        <w:rPr>
          <w:b/>
          <w:bCs/>
        </w:rPr>
        <w:t xml:space="preserve">ataset </w:t>
      </w:r>
      <w:r w:rsidR="00AD0652">
        <w:rPr>
          <w:b/>
          <w:bCs/>
        </w:rPr>
        <w:t xml:space="preserve">is </w:t>
      </w:r>
      <w:r w:rsidRPr="00047F05">
        <w:rPr>
          <w:b/>
          <w:bCs/>
        </w:rPr>
        <w:t>constructed</w:t>
      </w:r>
      <w:r w:rsidRPr="00047F05">
        <w:rPr>
          <w:b/>
          <w:bCs/>
        </w:rPr>
        <w:tab/>
      </w:r>
      <w:r w:rsidRPr="00047F05">
        <w:rPr>
          <w:b/>
          <w:bCs/>
        </w:rPr>
        <w:tab/>
      </w:r>
      <w:r w:rsidRPr="00047F05">
        <w:rPr>
          <w:b/>
          <w:bCs/>
        </w:rPr>
        <w:tab/>
      </w:r>
      <w:r w:rsidRPr="00047F05">
        <w:rPr>
          <w:b/>
          <w:bCs/>
        </w:rPr>
        <w:tab/>
      </w:r>
      <w:r w:rsidRPr="00047F05">
        <w:rPr>
          <w:b/>
          <w:bCs/>
        </w:rPr>
        <w:tab/>
      </w:r>
      <w:r w:rsidRPr="00047F05">
        <w:rPr>
          <w:b/>
          <w:bCs/>
        </w:rPr>
        <w:tab/>
      </w:r>
      <w:r w:rsidRPr="00047F05">
        <w:rPr>
          <w:b/>
          <w:bCs/>
        </w:rPr>
        <w:tab/>
      </w:r>
    </w:p>
    <w:p w14:paraId="03CA99B9" w14:textId="70F1010F" w:rsidR="00535242" w:rsidRDefault="00535242" w:rsidP="00535242">
      <w:r>
        <w:t>Outreach activity data for the three academic years 2017/18-2019/20 were extracted</w:t>
      </w:r>
      <w:r w:rsidR="00784804">
        <w:t xml:space="preserve"> and put together</w:t>
      </w:r>
      <w:r>
        <w:t xml:space="preserve"> from project partners’ databases</w:t>
      </w:r>
      <w:r w:rsidR="00950AC5">
        <w:t xml:space="preserve">: </w:t>
      </w:r>
      <w:bookmarkStart w:id="0" w:name="_Hlk82431973"/>
      <w:r w:rsidR="00876C09">
        <w:fldChar w:fldCharType="begin"/>
      </w:r>
      <w:r w:rsidR="00876C09">
        <w:instrText xml:space="preserve"> HYPERLINK "https://heat.ac.uk/" </w:instrText>
      </w:r>
      <w:r w:rsidR="00876C09">
        <w:fldChar w:fldCharType="separate"/>
      </w:r>
      <w:r w:rsidR="00F41D8C" w:rsidRPr="00876C09">
        <w:rPr>
          <w:rStyle w:val="Hyperlink"/>
        </w:rPr>
        <w:t>HEAT</w:t>
      </w:r>
      <w:r w:rsidR="00876C09">
        <w:fldChar w:fldCharType="end"/>
      </w:r>
      <w:r w:rsidR="00F41D8C">
        <w:t xml:space="preserve">, </w:t>
      </w:r>
      <w:hyperlink r:id="rId7" w:history="1">
        <w:proofErr w:type="spellStart"/>
        <w:r w:rsidR="0062729C" w:rsidRPr="0062729C">
          <w:rPr>
            <w:rStyle w:val="Hyperlink"/>
          </w:rPr>
          <w:t>Aimhigher</w:t>
        </w:r>
        <w:proofErr w:type="spellEnd"/>
        <w:r w:rsidR="0062729C" w:rsidRPr="0062729C">
          <w:rPr>
            <w:rStyle w:val="Hyperlink"/>
          </w:rPr>
          <w:t xml:space="preserve"> West Midlands</w:t>
        </w:r>
      </w:hyperlink>
      <w:r w:rsidR="0062729C" w:rsidRPr="0062729C">
        <w:t xml:space="preserve"> and </w:t>
      </w:r>
      <w:hyperlink r:id="rId8" w:history="1">
        <w:r w:rsidR="0062729C" w:rsidRPr="003E5034">
          <w:rPr>
            <w:rStyle w:val="Hyperlink"/>
          </w:rPr>
          <w:t>East Midlands Widening Participation Research and Evaluation Partnership</w:t>
        </w:r>
      </w:hyperlink>
      <w:r w:rsidR="00B45ACC" w:rsidRPr="00B45ACC" w:rsidDel="00784804">
        <w:t xml:space="preserve"> </w:t>
      </w:r>
      <w:bookmarkEnd w:id="0"/>
      <w:r>
        <w:t>. Each row of th</w:t>
      </w:r>
      <w:r w:rsidR="00986B44">
        <w:t>e</w:t>
      </w:r>
      <w:r>
        <w:t xml:space="preserve"> </w:t>
      </w:r>
      <w:r w:rsidR="00986B44" w:rsidRPr="00986B44">
        <w:t>national outreach coverage</w:t>
      </w:r>
      <w:r w:rsidR="00986B44">
        <w:rPr>
          <w:b/>
          <w:bCs/>
        </w:rPr>
        <w:t xml:space="preserve"> </w:t>
      </w:r>
      <w:r>
        <w:t xml:space="preserve">dataset represents one school or college, with adjacent columns showing counts for activities, </w:t>
      </w:r>
      <w:r w:rsidR="000D723C">
        <w:t xml:space="preserve">activity contact hours and </w:t>
      </w:r>
      <w:r>
        <w:t xml:space="preserve">providers for outreach activities delivered to the students. </w:t>
      </w:r>
    </w:p>
    <w:p w14:paraId="0E77FD7D" w14:textId="518C56C4" w:rsidR="00535242" w:rsidRDefault="00535242" w:rsidP="00535242">
      <w:r>
        <w:t>The dataset include</w:t>
      </w:r>
      <w:r w:rsidR="00FE4537">
        <w:t>s</w:t>
      </w:r>
      <w:r>
        <w:t xml:space="preserve"> only schools and colleges meeting all the following criteria:</w:t>
      </w:r>
    </w:p>
    <w:p w14:paraId="2C446F7D" w14:textId="0FE97ED7" w:rsidR="00535242" w:rsidRDefault="00C20B19" w:rsidP="00535242">
      <w:pPr>
        <w:pStyle w:val="ListParagraph"/>
        <w:numPr>
          <w:ilvl w:val="0"/>
          <w:numId w:val="1"/>
        </w:numPr>
      </w:pPr>
      <w:bookmarkStart w:id="1" w:name="OLE_LINK1"/>
      <w:r>
        <w:t>Included in</w:t>
      </w:r>
      <w:r w:rsidR="00535242">
        <w:t xml:space="preserve"> the Department for Education’s </w:t>
      </w:r>
      <w:hyperlink r:id="rId9" w:history="1">
        <w:r w:rsidR="00535242" w:rsidRPr="00D472C1">
          <w:rPr>
            <w:rStyle w:val="Hyperlink"/>
          </w:rPr>
          <w:t>Get Information about Schools</w:t>
        </w:r>
      </w:hyperlink>
      <w:r w:rsidR="00535242">
        <w:t xml:space="preserve"> database (previously called </w:t>
      </w:r>
      <w:proofErr w:type="spellStart"/>
      <w:r w:rsidR="00535242">
        <w:t>Edubase</w:t>
      </w:r>
      <w:proofErr w:type="spellEnd"/>
      <w:r w:rsidR="00535242">
        <w:t xml:space="preserve">) </w:t>
      </w:r>
      <w:proofErr w:type="gramStart"/>
      <w:r w:rsidR="00535242">
        <w:t>on</w:t>
      </w:r>
      <w:proofErr w:type="gramEnd"/>
      <w:r w:rsidR="00535242">
        <w:t xml:space="preserve"> March 2021</w:t>
      </w:r>
    </w:p>
    <w:bookmarkEnd w:id="1"/>
    <w:p w14:paraId="5875E866" w14:textId="29F06C76" w:rsidR="00535242" w:rsidRDefault="00F30206" w:rsidP="00535242">
      <w:pPr>
        <w:pStyle w:val="ListParagraph"/>
        <w:numPr>
          <w:ilvl w:val="0"/>
          <w:numId w:val="1"/>
        </w:numPr>
      </w:pPr>
      <w:r>
        <w:t>A</w:t>
      </w:r>
      <w:r w:rsidR="00535242">
        <w:t xml:space="preserve"> valid Unique Reference Number (URN)</w:t>
      </w:r>
    </w:p>
    <w:p w14:paraId="3E6170AA" w14:textId="77777777" w:rsidR="00535242" w:rsidRDefault="00535242" w:rsidP="00535242">
      <w:pPr>
        <w:pStyle w:val="ListParagraph"/>
        <w:numPr>
          <w:ilvl w:val="0"/>
          <w:numId w:val="1"/>
        </w:numPr>
      </w:pPr>
      <w:r>
        <w:t>Situated in England</w:t>
      </w:r>
    </w:p>
    <w:p w14:paraId="3B2BFAE8" w14:textId="143A8933" w:rsidR="00535242" w:rsidRDefault="00535242" w:rsidP="00535242">
      <w:pPr>
        <w:pStyle w:val="ListParagraph"/>
        <w:numPr>
          <w:ilvl w:val="0"/>
          <w:numId w:val="1"/>
        </w:numPr>
      </w:pPr>
      <w:r>
        <w:t xml:space="preserve">State and </w:t>
      </w:r>
      <w:r w:rsidR="00A572BF">
        <w:t>f</w:t>
      </w:r>
      <w:r>
        <w:t>ree schools</w:t>
      </w:r>
      <w:r w:rsidR="00070348">
        <w:t>,</w:t>
      </w:r>
      <w:r>
        <w:t xml:space="preserve"> </w:t>
      </w:r>
      <w:r w:rsidR="00070348">
        <w:t>s</w:t>
      </w:r>
      <w:r>
        <w:t>tate colleges</w:t>
      </w:r>
    </w:p>
    <w:p w14:paraId="21456542" w14:textId="09E04552" w:rsidR="00535242" w:rsidRDefault="00535242" w:rsidP="00535242">
      <w:pPr>
        <w:pStyle w:val="ListParagraph"/>
        <w:numPr>
          <w:ilvl w:val="0"/>
          <w:numId w:val="1"/>
        </w:numPr>
      </w:pPr>
      <w:r>
        <w:t>Listed as ‘</w:t>
      </w:r>
      <w:r w:rsidR="00070348">
        <w:t>o</w:t>
      </w:r>
      <w:r>
        <w:t>pen’</w:t>
      </w:r>
      <w:r>
        <w:tab/>
      </w:r>
    </w:p>
    <w:p w14:paraId="7E4A59AF" w14:textId="467342D8" w:rsidR="00535242" w:rsidRDefault="00535242" w:rsidP="00535242">
      <w:pPr>
        <w:pStyle w:val="ListParagraph"/>
        <w:numPr>
          <w:ilvl w:val="0"/>
          <w:numId w:val="1"/>
        </w:numPr>
      </w:pPr>
      <w:r>
        <w:t xml:space="preserve">One of the following </w:t>
      </w:r>
      <w:r w:rsidR="005F2A49">
        <w:t>p</w:t>
      </w:r>
      <w:r>
        <w:t xml:space="preserve">hases of </w:t>
      </w:r>
      <w:r w:rsidR="005F2A49">
        <w:t>e</w:t>
      </w:r>
      <w:r>
        <w:t xml:space="preserve">ducation: </w:t>
      </w:r>
      <w:r w:rsidR="00A572BF">
        <w:t>s</w:t>
      </w:r>
      <w:r>
        <w:t xml:space="preserve">econdary, </w:t>
      </w:r>
      <w:r w:rsidR="005F2A49">
        <w:t>s</w:t>
      </w:r>
      <w:r>
        <w:t xml:space="preserve">ixteen </w:t>
      </w:r>
      <w:r w:rsidR="005F2A49">
        <w:t>p</w:t>
      </w:r>
      <w:r>
        <w:t xml:space="preserve">lus, </w:t>
      </w:r>
      <w:r w:rsidR="005F2A49">
        <w:t>m</w:t>
      </w:r>
      <w:r>
        <w:t xml:space="preserve">iddle </w:t>
      </w:r>
      <w:r w:rsidR="005F2A49">
        <w:t>d</w:t>
      </w:r>
      <w:r>
        <w:t xml:space="preserve">eemed </w:t>
      </w:r>
      <w:r w:rsidR="005F2A49">
        <w:t>p</w:t>
      </w:r>
      <w:r>
        <w:t xml:space="preserve">rimary and </w:t>
      </w:r>
      <w:r w:rsidR="005F2A49">
        <w:t>p</w:t>
      </w:r>
      <w:r>
        <w:t xml:space="preserve">rimary </w:t>
      </w:r>
      <w:r w:rsidR="005F2A49">
        <w:t>d</w:t>
      </w:r>
      <w:r>
        <w:t xml:space="preserve">eemed </w:t>
      </w:r>
      <w:r w:rsidR="00A572BF">
        <w:t>s</w:t>
      </w:r>
      <w:r>
        <w:t>econdary</w:t>
      </w:r>
      <w:r>
        <w:tab/>
      </w:r>
    </w:p>
    <w:p w14:paraId="055F7E12" w14:textId="2D959BA9" w:rsidR="00535242" w:rsidRDefault="00535242" w:rsidP="00535242">
      <w:pPr>
        <w:pStyle w:val="ListParagraph"/>
        <w:numPr>
          <w:ilvl w:val="0"/>
          <w:numId w:val="1"/>
        </w:numPr>
      </w:pPr>
      <w:r>
        <w:t>Schools and colleges with an institution type of ‘special’, ‘alternative provision’ and PRU</w:t>
      </w:r>
      <w:r w:rsidR="009228A8">
        <w:t xml:space="preserve"> </w:t>
      </w:r>
      <w:r>
        <w:t>(Pupil Referral Unit) are excluded.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7436CE" w14:textId="4ED84530" w:rsidR="00535242" w:rsidRDefault="00535242" w:rsidP="00535242">
      <w:r>
        <w:t xml:space="preserve">When data on outreach interventions are recorded by a </w:t>
      </w:r>
      <w:r w:rsidR="00A526CE">
        <w:t>p</w:t>
      </w:r>
      <w:r>
        <w:t xml:space="preserve">rovider, an </w:t>
      </w:r>
      <w:r w:rsidR="00A526CE">
        <w:t>a</w:t>
      </w:r>
      <w:r>
        <w:t xml:space="preserve">ctivity ID number is allocated to each outreach event. It is this ID number which designates a single activity as a unit for counting. Variation has been detected in relation to </w:t>
      </w:r>
      <w:r w:rsidR="00C16EDA">
        <w:t>m</w:t>
      </w:r>
      <w:r>
        <w:t xml:space="preserve">entoring activities where, for example, one </w:t>
      </w:r>
      <w:r w:rsidR="00C16EDA">
        <w:t>p</w:t>
      </w:r>
      <w:r>
        <w:t xml:space="preserve">rovider may record a ten-week mentoring intervention as one activity and another may record this as ten separate activities. To standardise our counting approach, </w:t>
      </w:r>
      <w:r w:rsidR="00C16EDA">
        <w:t>m</w:t>
      </w:r>
      <w:r>
        <w:t xml:space="preserve">entoring activities are counted once per year per </w:t>
      </w:r>
      <w:r w:rsidR="00C16EDA">
        <w:t>p</w:t>
      </w:r>
      <w:r>
        <w:t xml:space="preserve">rovider for each receiving </w:t>
      </w:r>
      <w:r w:rsidR="00643FD6">
        <w:t>where</w:t>
      </w:r>
      <w:r>
        <w:t xml:space="preserve"> it is delivered.</w:t>
      </w:r>
      <w:r>
        <w:tab/>
      </w:r>
      <w:r>
        <w:tab/>
      </w:r>
    </w:p>
    <w:p w14:paraId="74675480" w14:textId="59E331C8" w:rsidR="00535242" w:rsidRDefault="00535242" w:rsidP="00535242">
      <w:r>
        <w:t xml:space="preserve">Where outreach activities have been delivered to a school or college that is now closed, and it has been superseded by another (according to </w:t>
      </w:r>
      <w:proofErr w:type="spellStart"/>
      <w:r>
        <w:t>Edubase</w:t>
      </w:r>
      <w:proofErr w:type="spellEnd"/>
      <w:r>
        <w:t xml:space="preserve">), activities related to the superseded receiving institution are attributed to the successor institution, linked by its </w:t>
      </w:r>
      <w:r w:rsidR="002518A6">
        <w:t>u</w:t>
      </w:r>
      <w:r>
        <w:t xml:space="preserve">nique </w:t>
      </w:r>
      <w:r w:rsidR="002518A6">
        <w:t>r</w:t>
      </w:r>
      <w:r>
        <w:t xml:space="preserve">eference </w:t>
      </w:r>
      <w:r w:rsidR="002518A6">
        <w:t>number</w:t>
      </w:r>
      <w:r>
        <w:t xml:space="preserve">. This is done for the last predecessor only, as linking back to two or more predecessor institutions </w:t>
      </w:r>
      <w:r w:rsidR="00876B61">
        <w:t xml:space="preserve">is </w:t>
      </w:r>
      <w:r>
        <w:t xml:space="preserve">likely </w:t>
      </w:r>
      <w:r w:rsidR="00AE5F6E">
        <w:t xml:space="preserve">to </w:t>
      </w:r>
      <w:r>
        <w:lastRenderedPageBreak/>
        <w:t xml:space="preserve">take the </w:t>
      </w:r>
      <w:r w:rsidR="00876B61">
        <w:t xml:space="preserve">activity </w:t>
      </w:r>
      <w:r>
        <w:t>counts beyond the three-year period this dataset is designed to represent.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0C969D" w14:textId="05787177" w:rsidR="00391B6B" w:rsidRPr="000E7D2E" w:rsidRDefault="00391B6B" w:rsidP="00535242">
      <w:pPr>
        <w:rPr>
          <w:b/>
        </w:rPr>
      </w:pPr>
      <w:r w:rsidRPr="000E7D2E">
        <w:rPr>
          <w:b/>
        </w:rPr>
        <w:t>Activity types</w:t>
      </w:r>
    </w:p>
    <w:p w14:paraId="3B21A045" w14:textId="7BF99C58" w:rsidR="00535242" w:rsidRDefault="00535242" w:rsidP="00535242">
      <w:r>
        <w:t xml:space="preserve">Activity </w:t>
      </w:r>
      <w:r w:rsidR="00391B6B">
        <w:t xml:space="preserve">types </w:t>
      </w:r>
      <w:r>
        <w:t>relate to a ‘</w:t>
      </w:r>
      <w:r w:rsidR="00F101A9">
        <w:t>c</w:t>
      </w:r>
      <w:r>
        <w:t xml:space="preserve">ommon </w:t>
      </w:r>
      <w:r w:rsidR="00391B6B">
        <w:t>t</w:t>
      </w:r>
      <w:r>
        <w:t xml:space="preserve">ypology’ developed by the three </w:t>
      </w:r>
      <w:r w:rsidR="00391B6B">
        <w:t>t</w:t>
      </w:r>
      <w:r>
        <w:t xml:space="preserve">racking </w:t>
      </w:r>
      <w:r w:rsidR="00AE5F6E">
        <w:t>s</w:t>
      </w:r>
      <w:r>
        <w:t xml:space="preserve">ervices. Where activities on HEAT were recorded as </w:t>
      </w:r>
      <w:r w:rsidR="00391B6B">
        <w:t>t</w:t>
      </w:r>
      <w:r>
        <w:t>ype '</w:t>
      </w:r>
      <w:r w:rsidR="00391B6B">
        <w:t>o</w:t>
      </w:r>
      <w:r>
        <w:t>ther', they were excluded. Therefore</w:t>
      </w:r>
      <w:r w:rsidR="008533AD">
        <w:t>,</w:t>
      </w:r>
      <w:r>
        <w:t xml:space="preserve"> the total of activities by </w:t>
      </w:r>
      <w:r w:rsidR="00391B6B">
        <w:t>t</w:t>
      </w:r>
      <w:r>
        <w:t>ype is sometimes lower than the three-year activity count.</w:t>
      </w:r>
      <w:r>
        <w:tab/>
      </w:r>
    </w:p>
    <w:p w14:paraId="140E54F4" w14:textId="31EFE23E" w:rsidR="00535242" w:rsidRDefault="00535242" w:rsidP="00535242">
      <w:r>
        <w:t>Some activities are delivered to both pre-16 and post-16 year</w:t>
      </w:r>
      <w:r w:rsidR="008533AD">
        <w:t>-</w:t>
      </w:r>
      <w:r>
        <w:t>groups. Therefore</w:t>
      </w:r>
      <w:r w:rsidR="008533AD">
        <w:t>,</w:t>
      </w:r>
      <w:r>
        <w:t xml:space="preserve"> the total of pre-16 and post-16 activities exceeds the three-year activity count in some cases.</w:t>
      </w:r>
      <w:r>
        <w:tab/>
      </w:r>
      <w:r>
        <w:tab/>
      </w:r>
      <w:r>
        <w:tab/>
      </w:r>
    </w:p>
    <w:p w14:paraId="04DDDEF9" w14:textId="7E9066A8" w:rsidR="00535242" w:rsidRDefault="008B5FC7" w:rsidP="00535242">
      <w:proofErr w:type="gramStart"/>
      <w:r>
        <w:t>I</w:t>
      </w:r>
      <w:r w:rsidR="00535242">
        <w:t>n order to</w:t>
      </w:r>
      <w:proofErr w:type="gramEnd"/>
      <w:r w:rsidR="00535242">
        <w:t xml:space="preserve"> populate the pre-16 and post-16 fields, </w:t>
      </w:r>
      <w:r>
        <w:t>p</w:t>
      </w:r>
      <w:r w:rsidR="00535242">
        <w:t>roviders indicated</w:t>
      </w:r>
      <w:r w:rsidR="005B1819" w:rsidRPr="005B1819">
        <w:t xml:space="preserve"> </w:t>
      </w:r>
      <w:r w:rsidR="005B1819">
        <w:t>which year groups an activity had been delivered</w:t>
      </w:r>
      <w:r w:rsidR="00535242">
        <w:t xml:space="preserve"> in their submitted data. However, the year groups are not split out by receiving institution</w:t>
      </w:r>
      <w:r w:rsidR="00DA4C0B">
        <w:t>. W</w:t>
      </w:r>
      <w:r w:rsidR="00535242">
        <w:t>here more than one school</w:t>
      </w:r>
      <w:r w:rsidR="00BB348E">
        <w:t xml:space="preserve"> or</w:t>
      </w:r>
      <w:r w:rsidR="00F101A9">
        <w:t xml:space="preserve"> </w:t>
      </w:r>
      <w:r w:rsidR="00535242">
        <w:t>college is added to an activity</w:t>
      </w:r>
      <w:r w:rsidR="00BB348E">
        <w:t>,</w:t>
      </w:r>
      <w:r w:rsidR="00535242">
        <w:t xml:space="preserve"> the year groups are conflated. An activity can have year groups 7 through to 13 ticked and then several receiving institutions added</w:t>
      </w:r>
      <w:r w:rsidR="00CA2830">
        <w:t>,</w:t>
      </w:r>
      <w:r w:rsidR="00535242">
        <w:t xml:space="preserve"> and </w:t>
      </w:r>
      <w:proofErr w:type="gramStart"/>
      <w:r w:rsidR="00535242">
        <w:t>all of</w:t>
      </w:r>
      <w:proofErr w:type="gramEnd"/>
      <w:r w:rsidR="00535242">
        <w:t xml:space="preserve"> those institutions </w:t>
      </w:r>
      <w:r w:rsidR="00DA4C0B">
        <w:t xml:space="preserve">will </w:t>
      </w:r>
      <w:r w:rsidR="00535242">
        <w:t>be recorded as having received an activity delivered to both pre- and post-16 year</w:t>
      </w:r>
      <w:r w:rsidR="00CA2830">
        <w:t>-</w:t>
      </w:r>
      <w:r w:rsidR="00535242">
        <w:t xml:space="preserve">groups. </w:t>
      </w:r>
      <w:r w:rsidR="00535242">
        <w:tab/>
      </w:r>
      <w:r w:rsidR="00535242">
        <w:tab/>
      </w:r>
      <w:r w:rsidR="00535242">
        <w:tab/>
      </w:r>
    </w:p>
    <w:p w14:paraId="4EBFB120" w14:textId="3719A0ED" w:rsidR="00535242" w:rsidRDefault="00535242" w:rsidP="00535242">
      <w:r>
        <w:t xml:space="preserve">Several providers have not been classified as </w:t>
      </w:r>
      <w:proofErr w:type="gramStart"/>
      <w:r>
        <w:t>an</w:t>
      </w:r>
      <w:proofErr w:type="gramEnd"/>
      <w:r>
        <w:t xml:space="preserve"> </w:t>
      </w:r>
      <w:r w:rsidR="003E5034">
        <w:t>higher educati</w:t>
      </w:r>
      <w:r w:rsidR="00894411">
        <w:t>on provider</w:t>
      </w:r>
      <w:r>
        <w:t xml:space="preserve">, </w:t>
      </w:r>
      <w:r w:rsidR="003E5034">
        <w:t xml:space="preserve">Uni Connect </w:t>
      </w:r>
      <w:r w:rsidR="00CA2830">
        <w:t>p</w:t>
      </w:r>
      <w:r w:rsidR="003E5034">
        <w:t>artnership,</w:t>
      </w:r>
      <w:r w:rsidDel="00894411">
        <w:t xml:space="preserve"> </w:t>
      </w:r>
      <w:r>
        <w:t xml:space="preserve">or </w:t>
      </w:r>
      <w:r w:rsidR="00894411">
        <w:t>third sector organisation p</w:t>
      </w:r>
      <w:r>
        <w:t xml:space="preserve">rovider </w:t>
      </w:r>
      <w:r w:rsidR="00894411">
        <w:t>t</w:t>
      </w:r>
      <w:r>
        <w:t xml:space="preserve">ype, so although their activity is counted in the three-year activity count, it has not been counted within the activity count by provider type columns. An example of </w:t>
      </w:r>
      <w:r w:rsidR="00FA48C4">
        <w:t>th</w:t>
      </w:r>
      <w:r w:rsidR="007F7D65">
        <w:t>es</w:t>
      </w:r>
      <w:r w:rsidR="00FA48C4">
        <w:t>e</w:t>
      </w:r>
      <w:r w:rsidR="007F7D65">
        <w:t xml:space="preserve"> </w:t>
      </w:r>
      <w:r>
        <w:t xml:space="preserve">providers would be collaborative groups of HEIs, UCPs, TSOs or other organisations that work with a </w:t>
      </w:r>
      <w:r w:rsidR="00FA48C4">
        <w:t>p</w:t>
      </w:r>
      <w:r>
        <w:t>rovider contributing data to this project.</w:t>
      </w:r>
      <w:r>
        <w:tab/>
      </w:r>
    </w:p>
    <w:p w14:paraId="2AFAFB15" w14:textId="29830316" w:rsidR="00535242" w:rsidRDefault="00C51318" w:rsidP="00535242">
      <w:pPr>
        <w:rPr>
          <w:b/>
          <w:bCs/>
        </w:rPr>
      </w:pPr>
      <w:r>
        <w:rPr>
          <w:b/>
          <w:bCs/>
        </w:rPr>
        <w:t>L</w:t>
      </w:r>
      <w:r w:rsidR="00535242">
        <w:rPr>
          <w:b/>
          <w:bCs/>
        </w:rPr>
        <w:t xml:space="preserve">imitations </w:t>
      </w:r>
      <w:r>
        <w:rPr>
          <w:b/>
          <w:bCs/>
        </w:rPr>
        <w:t xml:space="preserve">to </w:t>
      </w:r>
      <w:r w:rsidR="00535242">
        <w:rPr>
          <w:b/>
          <w:bCs/>
        </w:rPr>
        <w:t>the dataset</w:t>
      </w:r>
      <w:r w:rsidR="00535242" w:rsidRPr="00047F05">
        <w:rPr>
          <w:b/>
          <w:bCs/>
        </w:rPr>
        <w:tab/>
      </w:r>
    </w:p>
    <w:p w14:paraId="797F2207" w14:textId="62D631F9" w:rsidR="00535242" w:rsidRDefault="00535242" w:rsidP="00535242">
      <w:r w:rsidRPr="001F43A9">
        <w:t xml:space="preserve">The limitations </w:t>
      </w:r>
      <w:r>
        <w:t>largely relate to incompleteness and inconsistencies in the recording of outreach activity data.</w:t>
      </w:r>
      <w:r>
        <w:tab/>
      </w:r>
    </w:p>
    <w:p w14:paraId="1D4958BC" w14:textId="3C3435C5" w:rsidR="00535242" w:rsidRDefault="00535242" w:rsidP="00535242">
      <w:pPr>
        <w:pStyle w:val="ListParagraph"/>
        <w:numPr>
          <w:ilvl w:val="0"/>
          <w:numId w:val="3"/>
        </w:numPr>
      </w:pPr>
      <w:r>
        <w:t xml:space="preserve">A survey conducted at the start of the </w:t>
      </w:r>
      <w:r w:rsidR="00C51318">
        <w:t>national c</w:t>
      </w:r>
      <w:r>
        <w:t xml:space="preserve">overage </w:t>
      </w:r>
      <w:r w:rsidR="00C51318">
        <w:t>p</w:t>
      </w:r>
      <w:r>
        <w:t>roject indicated incomplete data capture by our contributors (HEAT members; AHWM; EMWPREP; and The Access Project).</w:t>
      </w:r>
    </w:p>
    <w:p w14:paraId="21DDF73F" w14:textId="77777777" w:rsidR="00535242" w:rsidRDefault="00535242" w:rsidP="00535242">
      <w:r>
        <w:t xml:space="preserve">Despite this incompleteness, the survey showed that recording of ‘all’ or ‘most (&gt;50%)’ activity-level data had increased year-on-year. For example, 2017/18 ‘all’ or ‘most’ activity-level data for pre-16 students had been recorded by 70% of respondents, increasing to 79% in 2019/20. </w:t>
      </w:r>
    </w:p>
    <w:p w14:paraId="5B62E249" w14:textId="77777777" w:rsidR="00535242" w:rsidRDefault="00535242" w:rsidP="00535242">
      <w:r>
        <w:t xml:space="preserve">Data capture varied by Activity Type, for example in 2019/20 with ‘all’ or ‘most’ data on Summer Schools recorded to a greater extent (85% of respondents) than those on Subject Masterclass/Subject Insight (75% of respondents). </w:t>
      </w:r>
    </w:p>
    <w:p w14:paraId="7B8FDF69" w14:textId="77777777" w:rsidR="00535242" w:rsidRDefault="00535242" w:rsidP="00535242">
      <w:r>
        <w:t>There was also regional variation in data capture. Respondents were asked how much activity-level data they had captured for a) pre-16 students; b) post-16 students. Averaging ‘all’ and ‘most’ responses across the three academic years (2017/18; 2018/19; 2019/20) and across both age groups produced the following results:</w:t>
      </w:r>
      <w:r>
        <w:tab/>
      </w:r>
      <w:r>
        <w:tab/>
      </w:r>
      <w:r>
        <w:tab/>
      </w:r>
    </w:p>
    <w:p w14:paraId="597AB7A1" w14:textId="77777777" w:rsidR="00535242" w:rsidRDefault="00535242" w:rsidP="00535242"/>
    <w:tbl>
      <w:tblPr>
        <w:tblW w:w="5300" w:type="dxa"/>
        <w:tblLook w:val="04A0" w:firstRow="1" w:lastRow="0" w:firstColumn="1" w:lastColumn="0" w:noHBand="0" w:noVBand="1"/>
      </w:tblPr>
      <w:tblGrid>
        <w:gridCol w:w="3100"/>
        <w:gridCol w:w="2200"/>
      </w:tblGrid>
      <w:tr w:rsidR="00535242" w:rsidRPr="001F43A9" w14:paraId="09B73B75" w14:textId="77777777" w:rsidTr="00151BC4">
        <w:trPr>
          <w:trHeight w:val="6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7853" w14:textId="77777777" w:rsidR="00535242" w:rsidRPr="001F43A9" w:rsidRDefault="00535242" w:rsidP="00151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43A9">
              <w:rPr>
                <w:rFonts w:ascii="Calibri" w:eastAsia="Times New Roman" w:hAnsi="Calibri" w:cs="Calibri"/>
                <w:color w:val="000000"/>
              </w:rPr>
              <w:t>Region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E403" w14:textId="77777777" w:rsidR="00535242" w:rsidRPr="001F43A9" w:rsidRDefault="00535242" w:rsidP="0015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43A9">
              <w:rPr>
                <w:rFonts w:ascii="Calibri" w:eastAsia="Times New Roman" w:hAnsi="Calibri" w:cs="Calibri"/>
                <w:color w:val="000000"/>
              </w:rPr>
              <w:t>% Providers recording All' or 'Most' activities</w:t>
            </w:r>
          </w:p>
        </w:tc>
      </w:tr>
      <w:tr w:rsidR="00535242" w:rsidRPr="001F43A9" w14:paraId="742BB806" w14:textId="77777777" w:rsidTr="00151BC4">
        <w:trPr>
          <w:trHeight w:val="2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AE5A" w14:textId="77777777" w:rsidR="00535242" w:rsidRPr="001F43A9" w:rsidRDefault="00535242" w:rsidP="00151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43A9">
              <w:rPr>
                <w:rFonts w:ascii="Calibri" w:eastAsia="Times New Roman" w:hAnsi="Calibri" w:cs="Calibri"/>
                <w:color w:val="000000"/>
              </w:rPr>
              <w:t>East Midlands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8B09" w14:textId="77777777" w:rsidR="00535242" w:rsidRPr="001F43A9" w:rsidRDefault="00535242" w:rsidP="0015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43A9">
              <w:rPr>
                <w:rFonts w:ascii="Calibri" w:eastAsia="Times New Roman" w:hAnsi="Calibri" w:cs="Calibri"/>
                <w:color w:val="000000"/>
              </w:rPr>
              <w:t>92%</w:t>
            </w:r>
          </w:p>
        </w:tc>
      </w:tr>
      <w:tr w:rsidR="00535242" w:rsidRPr="001F43A9" w14:paraId="5FD13609" w14:textId="77777777" w:rsidTr="00151BC4">
        <w:trPr>
          <w:trHeight w:val="2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C3A0" w14:textId="77777777" w:rsidR="00535242" w:rsidRPr="001F43A9" w:rsidRDefault="00535242" w:rsidP="00151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43A9">
              <w:rPr>
                <w:rFonts w:ascii="Calibri" w:eastAsia="Times New Roman" w:hAnsi="Calibri" w:cs="Calibri"/>
                <w:color w:val="000000"/>
              </w:rPr>
              <w:t>East of England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BE4C" w14:textId="77777777" w:rsidR="00535242" w:rsidRPr="001F43A9" w:rsidRDefault="00535242" w:rsidP="0015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43A9">
              <w:rPr>
                <w:rFonts w:ascii="Calibri" w:eastAsia="Times New Roman" w:hAnsi="Calibri" w:cs="Calibri"/>
                <w:color w:val="000000"/>
              </w:rPr>
              <w:t>94%</w:t>
            </w:r>
          </w:p>
        </w:tc>
      </w:tr>
      <w:tr w:rsidR="00535242" w:rsidRPr="001F43A9" w14:paraId="5F6250B3" w14:textId="77777777" w:rsidTr="00151BC4">
        <w:trPr>
          <w:trHeight w:val="2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DB98" w14:textId="77777777" w:rsidR="00535242" w:rsidRPr="001F43A9" w:rsidRDefault="00535242" w:rsidP="00151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43A9">
              <w:rPr>
                <w:rFonts w:ascii="Calibri" w:eastAsia="Times New Roman" w:hAnsi="Calibri" w:cs="Calibri"/>
                <w:color w:val="000000"/>
              </w:rPr>
              <w:t>London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5EBE" w14:textId="77777777" w:rsidR="00535242" w:rsidRPr="001F43A9" w:rsidRDefault="00535242" w:rsidP="0015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43A9">
              <w:rPr>
                <w:rFonts w:ascii="Calibri" w:eastAsia="Times New Roman" w:hAnsi="Calibri" w:cs="Calibri"/>
                <w:color w:val="000000"/>
              </w:rPr>
              <w:t>59%</w:t>
            </w:r>
          </w:p>
        </w:tc>
      </w:tr>
      <w:tr w:rsidR="00535242" w:rsidRPr="001F43A9" w14:paraId="33E5533C" w14:textId="77777777" w:rsidTr="00151BC4">
        <w:trPr>
          <w:trHeight w:val="2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CD46" w14:textId="77777777" w:rsidR="00535242" w:rsidRPr="001F43A9" w:rsidRDefault="00535242" w:rsidP="00151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1F43A9">
              <w:rPr>
                <w:rFonts w:ascii="Calibri" w:eastAsia="Times New Roman" w:hAnsi="Calibri" w:cs="Calibri"/>
                <w:color w:val="000000"/>
              </w:rPr>
              <w:lastRenderedPageBreak/>
              <w:t>North East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E600" w14:textId="77777777" w:rsidR="00535242" w:rsidRPr="001F43A9" w:rsidRDefault="00535242" w:rsidP="0015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43A9">
              <w:rPr>
                <w:rFonts w:ascii="Calibri" w:eastAsia="Times New Roman" w:hAnsi="Calibri" w:cs="Calibri"/>
                <w:color w:val="000000"/>
              </w:rPr>
              <w:t>47%</w:t>
            </w:r>
          </w:p>
        </w:tc>
      </w:tr>
      <w:tr w:rsidR="00535242" w:rsidRPr="001F43A9" w14:paraId="32031331" w14:textId="77777777" w:rsidTr="00151BC4">
        <w:trPr>
          <w:trHeight w:val="2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F857" w14:textId="77777777" w:rsidR="00535242" w:rsidRPr="001F43A9" w:rsidRDefault="00535242" w:rsidP="00151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1F43A9">
              <w:rPr>
                <w:rFonts w:ascii="Calibri" w:eastAsia="Times New Roman" w:hAnsi="Calibri" w:cs="Calibri"/>
                <w:color w:val="000000"/>
              </w:rPr>
              <w:t>North West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0FC0" w14:textId="77777777" w:rsidR="00535242" w:rsidRPr="001F43A9" w:rsidRDefault="00535242" w:rsidP="0015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43A9">
              <w:rPr>
                <w:rFonts w:ascii="Calibri" w:eastAsia="Times New Roman" w:hAnsi="Calibri" w:cs="Calibri"/>
                <w:color w:val="000000"/>
              </w:rPr>
              <w:t>72%</w:t>
            </w:r>
          </w:p>
        </w:tc>
      </w:tr>
      <w:tr w:rsidR="00535242" w:rsidRPr="001F43A9" w14:paraId="379A122C" w14:textId="77777777" w:rsidTr="00151BC4">
        <w:trPr>
          <w:trHeight w:val="2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FB7E" w14:textId="77777777" w:rsidR="00535242" w:rsidRPr="001F43A9" w:rsidRDefault="00535242" w:rsidP="00151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1F43A9">
              <w:rPr>
                <w:rFonts w:ascii="Calibri" w:eastAsia="Times New Roman" w:hAnsi="Calibri" w:cs="Calibri"/>
                <w:color w:val="000000"/>
              </w:rPr>
              <w:t>South East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EF8F" w14:textId="77777777" w:rsidR="00535242" w:rsidRPr="001F43A9" w:rsidRDefault="00535242" w:rsidP="0015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43A9">
              <w:rPr>
                <w:rFonts w:ascii="Calibri" w:eastAsia="Times New Roman" w:hAnsi="Calibri" w:cs="Calibri"/>
                <w:color w:val="000000"/>
              </w:rPr>
              <w:t>82%</w:t>
            </w:r>
          </w:p>
        </w:tc>
      </w:tr>
      <w:tr w:rsidR="00535242" w:rsidRPr="001F43A9" w14:paraId="62538A3A" w14:textId="77777777" w:rsidTr="00151BC4">
        <w:trPr>
          <w:trHeight w:val="2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F7EE" w14:textId="77777777" w:rsidR="00535242" w:rsidRPr="001F43A9" w:rsidRDefault="00535242" w:rsidP="00151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1F43A9">
              <w:rPr>
                <w:rFonts w:ascii="Calibri" w:eastAsia="Times New Roman" w:hAnsi="Calibri" w:cs="Calibri"/>
                <w:color w:val="000000"/>
              </w:rPr>
              <w:t>South West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260D" w14:textId="77777777" w:rsidR="00535242" w:rsidRPr="001F43A9" w:rsidRDefault="00535242" w:rsidP="0015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43A9">
              <w:rPr>
                <w:rFonts w:ascii="Calibri" w:eastAsia="Times New Roman" w:hAnsi="Calibri" w:cs="Calibri"/>
                <w:color w:val="000000"/>
              </w:rPr>
              <w:t>67%</w:t>
            </w:r>
          </w:p>
        </w:tc>
      </w:tr>
      <w:tr w:rsidR="00535242" w:rsidRPr="001F43A9" w14:paraId="68437435" w14:textId="77777777" w:rsidTr="00151BC4">
        <w:trPr>
          <w:trHeight w:val="2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B42E" w14:textId="77777777" w:rsidR="00535242" w:rsidRPr="001F43A9" w:rsidRDefault="00535242" w:rsidP="00151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43A9">
              <w:rPr>
                <w:rFonts w:ascii="Calibri" w:eastAsia="Times New Roman" w:hAnsi="Calibri" w:cs="Calibri"/>
                <w:color w:val="000000"/>
              </w:rPr>
              <w:t>West Midlands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0BC5" w14:textId="77777777" w:rsidR="00535242" w:rsidRPr="001F43A9" w:rsidRDefault="00535242" w:rsidP="0015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43A9">
              <w:rPr>
                <w:rFonts w:ascii="Calibri" w:eastAsia="Times New Roman" w:hAnsi="Calibri" w:cs="Calibri"/>
                <w:color w:val="000000"/>
              </w:rPr>
              <w:t>89%</w:t>
            </w:r>
          </w:p>
        </w:tc>
      </w:tr>
      <w:tr w:rsidR="00535242" w:rsidRPr="001F43A9" w14:paraId="4D435291" w14:textId="77777777" w:rsidTr="00151BC4">
        <w:trPr>
          <w:trHeight w:val="2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07F7" w14:textId="77777777" w:rsidR="00535242" w:rsidRPr="001F43A9" w:rsidRDefault="00535242" w:rsidP="00151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43A9">
              <w:rPr>
                <w:rFonts w:ascii="Calibri" w:eastAsia="Times New Roman" w:hAnsi="Calibri" w:cs="Calibri"/>
                <w:color w:val="000000"/>
              </w:rPr>
              <w:t>Yorkshire and the Humber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9274" w14:textId="77777777" w:rsidR="00535242" w:rsidRPr="001F43A9" w:rsidRDefault="00535242" w:rsidP="0015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43A9">
              <w:rPr>
                <w:rFonts w:ascii="Calibri" w:eastAsia="Times New Roman" w:hAnsi="Calibri" w:cs="Calibri"/>
                <w:color w:val="000000"/>
              </w:rPr>
              <w:t>62%</w:t>
            </w:r>
          </w:p>
        </w:tc>
      </w:tr>
    </w:tbl>
    <w:p w14:paraId="2AC36A21" w14:textId="77777777" w:rsidR="00535242" w:rsidRDefault="00535242" w:rsidP="00535242"/>
    <w:p w14:paraId="25CB4B95" w14:textId="77777777" w:rsidR="00535242" w:rsidRDefault="00535242" w:rsidP="00535242">
      <w:r>
        <w:t>The extent of contributors’ data recording is influenced by dedicated resource and how far tracking is embedded into the outreach process.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1F5392" w14:textId="153E2755" w:rsidR="00535242" w:rsidRDefault="00535242" w:rsidP="00535242">
      <w:pPr>
        <w:pStyle w:val="ListParagraph"/>
        <w:numPr>
          <w:ilvl w:val="0"/>
          <w:numId w:val="3"/>
        </w:numPr>
      </w:pPr>
      <w:r>
        <w:t>In some cases</w:t>
      </w:r>
      <w:r w:rsidR="00AF76E9">
        <w:t>,</w:t>
      </w:r>
      <w:r>
        <w:t xml:space="preserve"> activities are recorded as delivered to an </w:t>
      </w:r>
      <w:r w:rsidR="00171EB0">
        <w:t>u</w:t>
      </w:r>
      <w:r>
        <w:t xml:space="preserve">nknown institution.  </w:t>
      </w:r>
    </w:p>
    <w:p w14:paraId="63D5C39B" w14:textId="7BE13E63" w:rsidR="00535242" w:rsidRDefault="00535242" w:rsidP="00535242">
      <w:r>
        <w:t>These tend to be lower-intensity activities (</w:t>
      </w:r>
      <w:proofErr w:type="gramStart"/>
      <w:r>
        <w:t>e.g.</w:t>
      </w:r>
      <w:proofErr w:type="gramEnd"/>
      <w:r>
        <w:t xml:space="preserve"> community-based events) attended by students from unknown institutions. Where this is the case, ‘</w:t>
      </w:r>
      <w:r w:rsidR="009A3765">
        <w:t>u</w:t>
      </w:r>
      <w:r>
        <w:t xml:space="preserve">nknown </w:t>
      </w:r>
      <w:r w:rsidR="009A3765">
        <w:t>i</w:t>
      </w:r>
      <w:r>
        <w:t xml:space="preserve">nstitution’ is shown in its own row at the top of the column of beneficiaries in this dataset. </w:t>
      </w:r>
      <w:r>
        <w:tab/>
      </w:r>
      <w:r>
        <w:tab/>
      </w:r>
      <w:r>
        <w:tab/>
      </w:r>
      <w:r>
        <w:tab/>
      </w:r>
      <w:r>
        <w:tab/>
      </w:r>
    </w:p>
    <w:p w14:paraId="1ABDFAAA" w14:textId="63E1CE67" w:rsidR="00535242" w:rsidRDefault="00535242" w:rsidP="00535242">
      <w:pPr>
        <w:pStyle w:val="ListParagraph"/>
        <w:numPr>
          <w:ilvl w:val="0"/>
          <w:numId w:val="3"/>
        </w:numPr>
      </w:pPr>
      <w:r>
        <w:t xml:space="preserve">Information regarding the </w:t>
      </w:r>
      <w:r w:rsidR="009A3765">
        <w:t>y</w:t>
      </w:r>
      <w:r>
        <w:t xml:space="preserve">ear </w:t>
      </w:r>
      <w:r w:rsidR="009A3765">
        <w:t>g</w:t>
      </w:r>
      <w:r>
        <w:t xml:space="preserve">roups taking part in an activity is often only partial. </w:t>
      </w:r>
    </w:p>
    <w:p w14:paraId="0545FEB7" w14:textId="68B843BF" w:rsidR="00535242" w:rsidRDefault="00535242" w:rsidP="00535242">
      <w:r>
        <w:t>In some cases, for example, only ’11-19 learner’ has been recorded, particularly for IAG activities. These cannot be added to the total of pre-16 or post-16 activities.</w:t>
      </w:r>
      <w:r>
        <w:tab/>
      </w:r>
      <w:r>
        <w:tab/>
      </w:r>
      <w:r>
        <w:tab/>
      </w:r>
    </w:p>
    <w:p w14:paraId="6949535F" w14:textId="77777777" w:rsidR="00535242" w:rsidRDefault="00535242" w:rsidP="00535242">
      <w:pPr>
        <w:pStyle w:val="ListParagraph"/>
        <w:numPr>
          <w:ilvl w:val="0"/>
          <w:numId w:val="3"/>
        </w:numPr>
      </w:pPr>
      <w:r>
        <w:t xml:space="preserve">It is not always possible to record contact hours accurately for activities. </w:t>
      </w:r>
    </w:p>
    <w:p w14:paraId="3D1059C0" w14:textId="5BC3FAA3" w:rsidR="00535242" w:rsidRDefault="00535242" w:rsidP="00535242">
      <w:r>
        <w:t>Where engagement in the activities is not assured (</w:t>
      </w:r>
      <w:proofErr w:type="gramStart"/>
      <w:r>
        <w:t>e.g.</w:t>
      </w:r>
      <w:proofErr w:type="gramEnd"/>
      <w:r>
        <w:t xml:space="preserve"> online video), </w:t>
      </w:r>
      <w:r w:rsidR="007E7466">
        <w:t xml:space="preserve">it </w:t>
      </w:r>
      <w:r>
        <w:t xml:space="preserve">is advised by </w:t>
      </w:r>
      <w:r w:rsidR="007E7466">
        <w:t>t</w:t>
      </w:r>
      <w:r>
        <w:t xml:space="preserve">racking </w:t>
      </w:r>
      <w:r w:rsidR="007E7466">
        <w:t>s</w:t>
      </w:r>
      <w:r>
        <w:t xml:space="preserve">ervices to avoid inaccurate data capture. This may apply to a greater degree to </w:t>
      </w:r>
      <w:proofErr w:type="gramStart"/>
      <w:r>
        <w:t>particular activity</w:t>
      </w:r>
      <w:proofErr w:type="gramEnd"/>
      <w:r>
        <w:t xml:space="preserve"> types and associated providers.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4FE65A" w14:textId="77777777" w:rsidR="00535242" w:rsidRDefault="00535242" w:rsidP="00535242">
      <w:pPr>
        <w:pStyle w:val="ListParagraph"/>
        <w:numPr>
          <w:ilvl w:val="0"/>
          <w:numId w:val="3"/>
        </w:numPr>
      </w:pPr>
      <w:r>
        <w:t>Student counts by receiving institution are not recorded in the dataset.</w:t>
      </w:r>
    </w:p>
    <w:p w14:paraId="0F44EF1A" w14:textId="087323EC" w:rsidR="00535242" w:rsidRDefault="00535242" w:rsidP="00535242">
      <w:r>
        <w:t xml:space="preserve">This is because some </w:t>
      </w:r>
      <w:r w:rsidR="000565FF">
        <w:t xml:space="preserve">providers </w:t>
      </w:r>
      <w:r>
        <w:t xml:space="preserve">find it difficult to ascertain participant numbers by school or college. Counting participants per receiving institution can occur where a student record is created for a given (‘known’) participant; but this is not always possible; and such counts may be lower than the sum of ‘known’ and ‘unknown’ students.  </w:t>
      </w:r>
      <w:r>
        <w:tab/>
      </w:r>
      <w:r>
        <w:tab/>
      </w:r>
      <w:r>
        <w:tab/>
      </w:r>
      <w:r>
        <w:tab/>
      </w:r>
    </w:p>
    <w:p w14:paraId="62957B34" w14:textId="77777777" w:rsidR="00535242" w:rsidRDefault="00535242" w:rsidP="00535242">
      <w:pPr>
        <w:rPr>
          <w:b/>
          <w:bCs/>
        </w:rPr>
      </w:pPr>
      <w:r w:rsidRPr="001F43A9">
        <w:rPr>
          <w:b/>
          <w:bCs/>
        </w:rPr>
        <w:t>Recommendations For Outreach Providers when recording data on Outreach Activities</w:t>
      </w:r>
    </w:p>
    <w:p w14:paraId="1BA47407" w14:textId="5F068903" w:rsidR="00535242" w:rsidRPr="001F43A9" w:rsidRDefault="00535242" w:rsidP="00535242">
      <w:proofErr w:type="gramStart"/>
      <w:r w:rsidRPr="00B75CF2">
        <w:t>In order to</w:t>
      </w:r>
      <w:proofErr w:type="gramEnd"/>
      <w:r w:rsidRPr="00B75CF2">
        <w:t xml:space="preserve"> improve data capture of outreach activities the Project Steering Group have created some recommendations for </w:t>
      </w:r>
      <w:r w:rsidR="00265FB2">
        <w:t>p</w:t>
      </w:r>
      <w:r w:rsidRPr="00B75CF2">
        <w:t xml:space="preserve">roviders when recording data on the </w:t>
      </w:r>
      <w:r>
        <w:t>o</w:t>
      </w:r>
      <w:r w:rsidRPr="00B75CF2">
        <w:t>utreach activities they deliver</w:t>
      </w:r>
      <w:r>
        <w:t xml:space="preserve">. If implemented, the following changes in data capture would help </w:t>
      </w:r>
      <w:r w:rsidRPr="001F43A9">
        <w:t>mitigate the above limitations in future iterations of this dataset.</w:t>
      </w:r>
    </w:p>
    <w:p w14:paraId="0F03E6DF" w14:textId="18C31647" w:rsidR="00535242" w:rsidRDefault="00535242" w:rsidP="00535242">
      <w:pPr>
        <w:pStyle w:val="ListParagraph"/>
        <w:numPr>
          <w:ilvl w:val="0"/>
          <w:numId w:val="4"/>
        </w:numPr>
      </w:pPr>
      <w:r>
        <w:t xml:space="preserve">Activity records should be created for all outreach activities delivered, with the help of clear guidance from </w:t>
      </w:r>
      <w:r w:rsidR="008D16BA">
        <w:t>t</w:t>
      </w:r>
      <w:r>
        <w:t>racking Services. Complete recording will mean that this dataset is able to give a full and accurate picture of outreach coverage nationally.</w:t>
      </w:r>
    </w:p>
    <w:p w14:paraId="23BCA093" w14:textId="77777777" w:rsidR="00535242" w:rsidRDefault="00535242" w:rsidP="00535242">
      <w:pPr>
        <w:pStyle w:val="ListParagraph"/>
        <w:numPr>
          <w:ilvl w:val="0"/>
          <w:numId w:val="4"/>
        </w:numPr>
      </w:pPr>
      <w:r>
        <w:t>The schools/colleges to which activities are delivered should be recorded where possible (</w:t>
      </w:r>
      <w:proofErr w:type="gramStart"/>
      <w:r>
        <w:t>i.e.</w:t>
      </w:r>
      <w:proofErr w:type="gramEnd"/>
      <w:r>
        <w:t xml:space="preserve"> avoid recoding activities against an 'Unknown Institution'.</w:t>
      </w:r>
    </w:p>
    <w:p w14:paraId="1668FDA6" w14:textId="77777777" w:rsidR="00535242" w:rsidRDefault="00535242" w:rsidP="00535242">
      <w:pPr>
        <w:pStyle w:val="ListParagraph"/>
        <w:numPr>
          <w:ilvl w:val="0"/>
          <w:numId w:val="4"/>
        </w:numPr>
      </w:pPr>
      <w:r>
        <w:t>Total participants per named receiving institution should be recorded where possible. This would allow the inclusion of student counts in this dataset, showing the number of participants per school/college.</w:t>
      </w:r>
    </w:p>
    <w:p w14:paraId="54D77F67" w14:textId="6D3F7F0F" w:rsidR="00535242" w:rsidRDefault="00535242" w:rsidP="00535242">
      <w:pPr>
        <w:pStyle w:val="ListParagraph"/>
        <w:numPr>
          <w:ilvl w:val="0"/>
          <w:numId w:val="4"/>
        </w:numPr>
      </w:pPr>
      <w:r>
        <w:t xml:space="preserve">The recording of </w:t>
      </w:r>
      <w:r w:rsidR="008D16BA">
        <w:t>m</w:t>
      </w:r>
      <w:r>
        <w:t>entoring activities should be standardi</w:t>
      </w:r>
      <w:r w:rsidR="00391347">
        <w:t>s</w:t>
      </w:r>
      <w:r>
        <w:t xml:space="preserve">ed. The project group plan to work with </w:t>
      </w:r>
      <w:hyperlink r:id="rId10" w:history="1">
        <w:r w:rsidRPr="007F7D65">
          <w:rPr>
            <w:rStyle w:val="Hyperlink"/>
          </w:rPr>
          <w:t>TASO</w:t>
        </w:r>
      </w:hyperlink>
      <w:r>
        <w:t xml:space="preserve"> to provide recommendations as to how multi-intervention activities such as </w:t>
      </w:r>
      <w:r w:rsidR="006155F1">
        <w:t>m</w:t>
      </w:r>
      <w:r>
        <w:t>entoring should be recorded.</w:t>
      </w:r>
    </w:p>
    <w:p w14:paraId="6A3F71CD" w14:textId="2B064579" w:rsidR="00535242" w:rsidRDefault="00535242" w:rsidP="00535242">
      <w:pPr>
        <w:pStyle w:val="ListParagraph"/>
        <w:numPr>
          <w:ilvl w:val="0"/>
          <w:numId w:val="4"/>
        </w:numPr>
      </w:pPr>
      <w:r>
        <w:lastRenderedPageBreak/>
        <w:t xml:space="preserve">Where possible, the </w:t>
      </w:r>
      <w:r w:rsidR="006155F1">
        <w:t>y</w:t>
      </w:r>
      <w:r>
        <w:t xml:space="preserve">ear </w:t>
      </w:r>
      <w:r w:rsidR="006155F1">
        <w:t>g</w:t>
      </w:r>
      <w:r>
        <w:t xml:space="preserve">roups taking part in an activity should be recorded, specifically as separate </w:t>
      </w:r>
      <w:r w:rsidR="001E3023">
        <w:t>y</w:t>
      </w:r>
      <w:r>
        <w:t xml:space="preserve">ear </w:t>
      </w:r>
      <w:r w:rsidR="001E3023">
        <w:t>g</w:t>
      </w:r>
      <w:r>
        <w:t xml:space="preserve">roups </w:t>
      </w:r>
      <w:proofErr w:type="gramStart"/>
      <w:r>
        <w:t>e.g.</w:t>
      </w:r>
      <w:proofErr w:type="gramEnd"/>
      <w:r>
        <w:t xml:space="preserve"> Year 11, Year 12, etc. This enables more accurate monitoring of pre- and post-16 outreach delivery. </w:t>
      </w:r>
    </w:p>
    <w:p w14:paraId="1EFDA815" w14:textId="77777777" w:rsidR="00535242" w:rsidRDefault="00535242" w:rsidP="00535242">
      <w:pPr>
        <w:pStyle w:val="ListParagraph"/>
        <w:numPr>
          <w:ilvl w:val="0"/>
          <w:numId w:val="4"/>
        </w:numPr>
      </w:pPr>
      <w:r>
        <w:t xml:space="preserve">Contact hours should be recorded where possible, in order that the intensity of engagement with specific institutions and groups is monitored. </w:t>
      </w:r>
    </w:p>
    <w:p w14:paraId="0425E29B" w14:textId="2AA3EB88" w:rsidR="00535242" w:rsidRDefault="00535242" w:rsidP="00535242">
      <w:pPr>
        <w:pStyle w:val="ListParagraph"/>
        <w:numPr>
          <w:ilvl w:val="0"/>
          <w:numId w:val="4"/>
        </w:numPr>
      </w:pPr>
      <w:r>
        <w:t xml:space="preserve">Tracking </w:t>
      </w:r>
      <w:r w:rsidR="001E3023">
        <w:t>s</w:t>
      </w:r>
      <w:r>
        <w:t xml:space="preserve">ervices should support and encourage the automation of data capture through capture tools, </w:t>
      </w:r>
      <w:proofErr w:type="gramStart"/>
      <w:r>
        <w:t>e.g.</w:t>
      </w:r>
      <w:proofErr w:type="gramEnd"/>
      <w:r>
        <w:t xml:space="preserve"> online event programmes; registration tools (to alleviate paper-based collection); and survey tools, all integrated into the tracker system.</w:t>
      </w:r>
    </w:p>
    <w:p w14:paraId="3C7317E5" w14:textId="77777777" w:rsidR="00535242" w:rsidRDefault="00535242" w:rsidP="00535242">
      <w:pPr>
        <w:rPr>
          <w:b/>
          <w:bCs/>
        </w:rPr>
      </w:pPr>
    </w:p>
    <w:p w14:paraId="26687FE3" w14:textId="77777777" w:rsidR="00535242" w:rsidRPr="001F43A9" w:rsidRDefault="00535242" w:rsidP="00535242">
      <w:pPr>
        <w:rPr>
          <w:b/>
          <w:bCs/>
        </w:rPr>
      </w:pPr>
      <w:r w:rsidRPr="001F43A9">
        <w:rPr>
          <w:b/>
          <w:bCs/>
        </w:rPr>
        <w:t>Appendix 1</w:t>
      </w:r>
    </w:p>
    <w:p w14:paraId="11FEFD30" w14:textId="34298D98" w:rsidR="00535242" w:rsidRDefault="00535242" w:rsidP="00535242">
      <w:r w:rsidRPr="00D77FBE">
        <w:t xml:space="preserve">The following </w:t>
      </w:r>
      <w:r w:rsidR="001E3023">
        <w:t>p</w:t>
      </w:r>
      <w:r w:rsidRPr="00D77FBE">
        <w:t>roviders have contributed data to this dataset:</w:t>
      </w:r>
      <w:r w:rsidRPr="00D77FBE">
        <w:tab/>
      </w:r>
      <w:r w:rsidRPr="00D77FBE">
        <w:tab/>
      </w:r>
      <w:r w:rsidRPr="00D77FBE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02BAA" w14:paraId="5FF86056" w14:textId="77777777" w:rsidTr="00640E3E">
        <w:tc>
          <w:tcPr>
            <w:tcW w:w="3005" w:type="dxa"/>
          </w:tcPr>
          <w:p w14:paraId="6DB56354" w14:textId="6E446CB6" w:rsidR="00402BAA" w:rsidRDefault="00402BAA" w:rsidP="00402BAA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D77FBE">
              <w:rPr>
                <w:b/>
                <w:bCs/>
              </w:rPr>
              <w:t>AHWM Members:</w:t>
            </w:r>
          </w:p>
        </w:tc>
        <w:tc>
          <w:tcPr>
            <w:tcW w:w="3005" w:type="dxa"/>
          </w:tcPr>
          <w:p w14:paraId="62B08985" w14:textId="4A2B020B" w:rsidR="00402BAA" w:rsidRDefault="00402BAA" w:rsidP="00402BAA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8F0396">
              <w:rPr>
                <w:b/>
                <w:bCs/>
              </w:rPr>
              <w:t>EMWPREP Members:</w:t>
            </w:r>
          </w:p>
        </w:tc>
        <w:tc>
          <w:tcPr>
            <w:tcW w:w="3006" w:type="dxa"/>
          </w:tcPr>
          <w:p w14:paraId="2998A4D6" w14:textId="55840D49" w:rsidR="00402BAA" w:rsidRDefault="00402BAA" w:rsidP="00402BAA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rPr>
                <w:b/>
                <w:bCs/>
              </w:rPr>
              <w:t>HEAT Members:</w:t>
            </w:r>
          </w:p>
        </w:tc>
      </w:tr>
      <w:tr w:rsidR="00290B6E" w14:paraId="5EAA9978" w14:textId="77777777" w:rsidTr="00640E3E">
        <w:tc>
          <w:tcPr>
            <w:tcW w:w="3005" w:type="dxa"/>
          </w:tcPr>
          <w:p w14:paraId="56949EBB" w14:textId="5098A1FD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34114F">
              <w:t>Aston University</w:t>
            </w:r>
          </w:p>
        </w:tc>
        <w:tc>
          <w:tcPr>
            <w:tcW w:w="3005" w:type="dxa"/>
          </w:tcPr>
          <w:p w14:paraId="1E9A3D75" w14:textId="42185ACB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8F0396">
              <w:t>Bishop Grosseteste University</w:t>
            </w:r>
          </w:p>
        </w:tc>
        <w:tc>
          <w:tcPr>
            <w:tcW w:w="3006" w:type="dxa"/>
          </w:tcPr>
          <w:p w14:paraId="1E347CF6" w14:textId="6D41EDBB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Aston University</w:t>
            </w:r>
          </w:p>
        </w:tc>
      </w:tr>
      <w:tr w:rsidR="00290B6E" w14:paraId="2B736783" w14:textId="77777777" w:rsidTr="00640E3E">
        <w:tc>
          <w:tcPr>
            <w:tcW w:w="3005" w:type="dxa"/>
          </w:tcPr>
          <w:p w14:paraId="51CE81F6" w14:textId="0A8B4819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34114F">
              <w:t>Birmingham City University</w:t>
            </w:r>
          </w:p>
        </w:tc>
        <w:tc>
          <w:tcPr>
            <w:tcW w:w="3005" w:type="dxa"/>
          </w:tcPr>
          <w:p w14:paraId="7A5C8D62" w14:textId="3B5FF0C4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8F0396">
              <w:t>De Montfort University</w:t>
            </w:r>
          </w:p>
        </w:tc>
        <w:tc>
          <w:tcPr>
            <w:tcW w:w="3006" w:type="dxa"/>
          </w:tcPr>
          <w:p w14:paraId="4BA8F2B2" w14:textId="154A128D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Anglia Ruskin University</w:t>
            </w:r>
          </w:p>
        </w:tc>
      </w:tr>
      <w:tr w:rsidR="00290B6E" w14:paraId="59121ABC" w14:textId="77777777" w:rsidTr="00640E3E">
        <w:tc>
          <w:tcPr>
            <w:tcW w:w="3005" w:type="dxa"/>
          </w:tcPr>
          <w:p w14:paraId="0556E60F" w14:textId="1C598AC0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34114F">
              <w:t>Birmingham Metropolitan College</w:t>
            </w:r>
          </w:p>
        </w:tc>
        <w:tc>
          <w:tcPr>
            <w:tcW w:w="3005" w:type="dxa"/>
          </w:tcPr>
          <w:p w14:paraId="71C47C47" w14:textId="6AA472EE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8F0396">
              <w:t>DMU Community</w:t>
            </w:r>
          </w:p>
        </w:tc>
        <w:tc>
          <w:tcPr>
            <w:tcW w:w="3006" w:type="dxa"/>
          </w:tcPr>
          <w:p w14:paraId="19E09DCA" w14:textId="55B66930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Bath Spa University</w:t>
            </w:r>
          </w:p>
        </w:tc>
      </w:tr>
      <w:tr w:rsidR="00290B6E" w14:paraId="78DEA5D0" w14:textId="77777777" w:rsidTr="00640E3E">
        <w:tc>
          <w:tcPr>
            <w:tcW w:w="3005" w:type="dxa"/>
          </w:tcPr>
          <w:p w14:paraId="26987BA9" w14:textId="322CACE9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34114F">
              <w:t>Halesowen College</w:t>
            </w:r>
          </w:p>
        </w:tc>
        <w:tc>
          <w:tcPr>
            <w:tcW w:w="3005" w:type="dxa"/>
          </w:tcPr>
          <w:p w14:paraId="42CCC24F" w14:textId="41DA0B99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8F0396">
              <w:t>Harper Adams University</w:t>
            </w:r>
          </w:p>
        </w:tc>
        <w:tc>
          <w:tcPr>
            <w:tcW w:w="3006" w:type="dxa"/>
          </w:tcPr>
          <w:p w14:paraId="44472837" w14:textId="51EE3898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Bournemouth University</w:t>
            </w:r>
          </w:p>
        </w:tc>
      </w:tr>
      <w:tr w:rsidR="00290B6E" w14:paraId="62726871" w14:textId="77777777" w:rsidTr="00640E3E">
        <w:tc>
          <w:tcPr>
            <w:tcW w:w="3005" w:type="dxa"/>
          </w:tcPr>
          <w:p w14:paraId="108C029E" w14:textId="76F23338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34114F">
              <w:t>Newman University</w:t>
            </w:r>
          </w:p>
        </w:tc>
        <w:tc>
          <w:tcPr>
            <w:tcW w:w="3005" w:type="dxa"/>
          </w:tcPr>
          <w:p w14:paraId="664D2A28" w14:textId="64FBBF13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proofErr w:type="spellStart"/>
            <w:r w:rsidRPr="008F0396">
              <w:t>Keele</w:t>
            </w:r>
            <w:proofErr w:type="spellEnd"/>
            <w:r w:rsidRPr="008F0396">
              <w:t xml:space="preserve"> University</w:t>
            </w:r>
          </w:p>
        </w:tc>
        <w:tc>
          <w:tcPr>
            <w:tcW w:w="3006" w:type="dxa"/>
          </w:tcPr>
          <w:p w14:paraId="39573AAA" w14:textId="3AFDF71C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Brunel University London</w:t>
            </w:r>
          </w:p>
        </w:tc>
      </w:tr>
      <w:tr w:rsidR="00290B6E" w14:paraId="5A19C7A1" w14:textId="77777777" w:rsidTr="00640E3E">
        <w:tc>
          <w:tcPr>
            <w:tcW w:w="3005" w:type="dxa"/>
          </w:tcPr>
          <w:p w14:paraId="5A1DAB57" w14:textId="44A3DD9C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34114F">
              <w:t>South and City College Birmingham</w:t>
            </w:r>
          </w:p>
        </w:tc>
        <w:tc>
          <w:tcPr>
            <w:tcW w:w="3005" w:type="dxa"/>
          </w:tcPr>
          <w:p w14:paraId="3F42FED9" w14:textId="28DE3B95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8F0396">
              <w:t>Loughborough University</w:t>
            </w:r>
          </w:p>
        </w:tc>
        <w:tc>
          <w:tcPr>
            <w:tcW w:w="3006" w:type="dxa"/>
          </w:tcPr>
          <w:p w14:paraId="0837A74C" w14:textId="3BFDC97C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Buckinghamshire New University</w:t>
            </w:r>
          </w:p>
        </w:tc>
      </w:tr>
      <w:tr w:rsidR="00290B6E" w14:paraId="54B0DDF7" w14:textId="77777777" w:rsidTr="00640E3E">
        <w:tc>
          <w:tcPr>
            <w:tcW w:w="3005" w:type="dxa"/>
          </w:tcPr>
          <w:p w14:paraId="2A0C4E18" w14:textId="5D7983A9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34114F">
              <w:t>University College Birmingham</w:t>
            </w:r>
          </w:p>
        </w:tc>
        <w:tc>
          <w:tcPr>
            <w:tcW w:w="3005" w:type="dxa"/>
          </w:tcPr>
          <w:p w14:paraId="351CCA0F" w14:textId="5844F1B0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8F0396">
              <w:t>L</w:t>
            </w:r>
            <w:r w:rsidR="0011618A">
              <w:t xml:space="preserve">ondon Southbank </w:t>
            </w:r>
            <w:r w:rsidRPr="008F0396">
              <w:t>U</w:t>
            </w:r>
            <w:r w:rsidR="0011618A">
              <w:t>niversity</w:t>
            </w:r>
          </w:p>
        </w:tc>
        <w:tc>
          <w:tcPr>
            <w:tcW w:w="3006" w:type="dxa"/>
          </w:tcPr>
          <w:p w14:paraId="2C806509" w14:textId="12276B7F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Canterbury Christ Church University</w:t>
            </w:r>
          </w:p>
        </w:tc>
      </w:tr>
      <w:tr w:rsidR="00290B6E" w14:paraId="78CC76D9" w14:textId="77777777" w:rsidTr="00640E3E">
        <w:tc>
          <w:tcPr>
            <w:tcW w:w="3005" w:type="dxa"/>
          </w:tcPr>
          <w:p w14:paraId="54CAEF1C" w14:textId="19BCCA01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34114F">
              <w:t>University of Birmingham</w:t>
            </w:r>
          </w:p>
        </w:tc>
        <w:tc>
          <w:tcPr>
            <w:tcW w:w="3005" w:type="dxa"/>
          </w:tcPr>
          <w:p w14:paraId="0843D86C" w14:textId="59E9C7D6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8F0396">
              <w:t>REACH</w:t>
            </w:r>
          </w:p>
        </w:tc>
        <w:tc>
          <w:tcPr>
            <w:tcW w:w="3006" w:type="dxa"/>
          </w:tcPr>
          <w:p w14:paraId="2DD25325" w14:textId="0D53ABA0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Cardiff University</w:t>
            </w:r>
          </w:p>
        </w:tc>
      </w:tr>
      <w:tr w:rsidR="00290B6E" w14:paraId="327EB74E" w14:textId="77777777" w:rsidTr="00640E3E">
        <w:tc>
          <w:tcPr>
            <w:tcW w:w="3005" w:type="dxa"/>
          </w:tcPr>
          <w:p w14:paraId="111331F3" w14:textId="7A9E5982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34114F">
              <w:t>University of Worcester</w:t>
            </w:r>
          </w:p>
        </w:tc>
        <w:tc>
          <w:tcPr>
            <w:tcW w:w="3005" w:type="dxa"/>
          </w:tcPr>
          <w:p w14:paraId="286FF46C" w14:textId="78A44EDB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8F0396">
              <w:t>University of Derby</w:t>
            </w:r>
          </w:p>
        </w:tc>
        <w:tc>
          <w:tcPr>
            <w:tcW w:w="3006" w:type="dxa"/>
          </w:tcPr>
          <w:p w14:paraId="6A008F1A" w14:textId="5DEBCD59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City, University of London</w:t>
            </w:r>
          </w:p>
        </w:tc>
      </w:tr>
      <w:tr w:rsidR="00290B6E" w14:paraId="5A6AB015" w14:textId="77777777" w:rsidTr="00640E3E">
        <w:tc>
          <w:tcPr>
            <w:tcW w:w="3005" w:type="dxa"/>
          </w:tcPr>
          <w:p w14:paraId="22A07B29" w14:textId="5B941089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proofErr w:type="spellStart"/>
            <w:r w:rsidRPr="0034114F">
              <w:t>Aimhigher</w:t>
            </w:r>
            <w:proofErr w:type="spellEnd"/>
            <w:r w:rsidRPr="0034114F">
              <w:t xml:space="preserve"> Birmingham &amp; Solihull</w:t>
            </w:r>
          </w:p>
        </w:tc>
        <w:tc>
          <w:tcPr>
            <w:tcW w:w="3005" w:type="dxa"/>
          </w:tcPr>
          <w:p w14:paraId="01A19CE1" w14:textId="527219E6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8F0396">
              <w:t>University of Leicester</w:t>
            </w:r>
          </w:p>
        </w:tc>
        <w:tc>
          <w:tcPr>
            <w:tcW w:w="3006" w:type="dxa"/>
          </w:tcPr>
          <w:p w14:paraId="300C1411" w14:textId="3A31C053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Coventry University</w:t>
            </w:r>
          </w:p>
        </w:tc>
      </w:tr>
      <w:tr w:rsidR="00290B6E" w14:paraId="06416BAC" w14:textId="77777777" w:rsidTr="00640E3E">
        <w:tc>
          <w:tcPr>
            <w:tcW w:w="3005" w:type="dxa"/>
          </w:tcPr>
          <w:p w14:paraId="089A28ED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1D20C160" w14:textId="7E586D95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8F0396">
              <w:t>University of Lincoln</w:t>
            </w:r>
          </w:p>
        </w:tc>
        <w:tc>
          <w:tcPr>
            <w:tcW w:w="3006" w:type="dxa"/>
          </w:tcPr>
          <w:p w14:paraId="0CA738F9" w14:textId="21AC06B2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Durham University</w:t>
            </w:r>
          </w:p>
        </w:tc>
      </w:tr>
      <w:tr w:rsidR="00290B6E" w14:paraId="5A0752DD" w14:textId="77777777" w:rsidTr="00640E3E">
        <w:tc>
          <w:tcPr>
            <w:tcW w:w="3005" w:type="dxa"/>
          </w:tcPr>
          <w:p w14:paraId="54FE314F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36B6779F" w14:textId="2170F5F3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8F0396">
              <w:t>University of Nottingham</w:t>
            </w:r>
          </w:p>
        </w:tc>
        <w:tc>
          <w:tcPr>
            <w:tcW w:w="3006" w:type="dxa"/>
          </w:tcPr>
          <w:p w14:paraId="1117D306" w14:textId="5F89ACA2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Edge Hill University</w:t>
            </w:r>
          </w:p>
        </w:tc>
      </w:tr>
      <w:tr w:rsidR="00290B6E" w14:paraId="7560575E" w14:textId="77777777" w:rsidTr="00640E3E">
        <w:tc>
          <w:tcPr>
            <w:tcW w:w="3005" w:type="dxa"/>
          </w:tcPr>
          <w:p w14:paraId="7EF01E84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5CCFB2CD" w14:textId="059838D5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8F0396">
              <w:t>DANCOP</w:t>
            </w:r>
          </w:p>
        </w:tc>
        <w:tc>
          <w:tcPr>
            <w:tcW w:w="3006" w:type="dxa"/>
          </w:tcPr>
          <w:p w14:paraId="270B3E43" w14:textId="3FB0B81D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Falmouth University</w:t>
            </w:r>
          </w:p>
        </w:tc>
      </w:tr>
      <w:tr w:rsidR="00290B6E" w14:paraId="60A4CC63" w14:textId="77777777" w:rsidTr="00640E3E">
        <w:tc>
          <w:tcPr>
            <w:tcW w:w="3005" w:type="dxa"/>
          </w:tcPr>
          <w:p w14:paraId="5A16C086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35E4C047" w14:textId="3BC8F6C8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8F0396">
              <w:t>Higher Horizons</w:t>
            </w:r>
          </w:p>
        </w:tc>
        <w:tc>
          <w:tcPr>
            <w:tcW w:w="3006" w:type="dxa"/>
          </w:tcPr>
          <w:p w14:paraId="23B13757" w14:textId="799414A3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Goldsmiths College, University of London</w:t>
            </w:r>
          </w:p>
        </w:tc>
      </w:tr>
      <w:tr w:rsidR="00290B6E" w14:paraId="7959D049" w14:textId="77777777" w:rsidTr="00640E3E">
        <w:tc>
          <w:tcPr>
            <w:tcW w:w="3005" w:type="dxa"/>
          </w:tcPr>
          <w:p w14:paraId="564307D7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6490A017" w14:textId="27B0215D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proofErr w:type="spellStart"/>
            <w:r w:rsidRPr="008F0396">
              <w:t>LiNCHigher</w:t>
            </w:r>
            <w:proofErr w:type="spellEnd"/>
          </w:p>
        </w:tc>
        <w:tc>
          <w:tcPr>
            <w:tcW w:w="3006" w:type="dxa"/>
          </w:tcPr>
          <w:p w14:paraId="1B5A7C28" w14:textId="40E8A4D4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Hartpury University and Hartpury College</w:t>
            </w:r>
          </w:p>
        </w:tc>
      </w:tr>
      <w:tr w:rsidR="00290B6E" w14:paraId="6EACB89E" w14:textId="77777777" w:rsidTr="00640E3E">
        <w:tc>
          <w:tcPr>
            <w:tcW w:w="3005" w:type="dxa"/>
          </w:tcPr>
          <w:p w14:paraId="6D255625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4C66BA6F" w14:textId="2AFCA3EF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8F0396">
              <w:t>Pathways</w:t>
            </w:r>
          </w:p>
        </w:tc>
        <w:tc>
          <w:tcPr>
            <w:tcW w:w="3006" w:type="dxa"/>
          </w:tcPr>
          <w:p w14:paraId="1C0B0ADE" w14:textId="38083D58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Imperial College of Science, Technology and Medicine</w:t>
            </w:r>
          </w:p>
        </w:tc>
      </w:tr>
      <w:tr w:rsidR="00290B6E" w14:paraId="069BB804" w14:textId="77777777" w:rsidTr="00640E3E">
        <w:tc>
          <w:tcPr>
            <w:tcW w:w="3005" w:type="dxa"/>
          </w:tcPr>
          <w:p w14:paraId="3940B3C4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023D3DA6" w14:textId="5C5CC968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0272BBCF" w14:textId="2F263B20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King’s College London</w:t>
            </w:r>
          </w:p>
        </w:tc>
      </w:tr>
      <w:tr w:rsidR="00290B6E" w14:paraId="488DEBCE" w14:textId="77777777" w:rsidTr="00640E3E">
        <w:tc>
          <w:tcPr>
            <w:tcW w:w="3005" w:type="dxa"/>
          </w:tcPr>
          <w:p w14:paraId="5B45CBA4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1FA24525" w14:textId="5BF5F70F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2F436BDE" w14:textId="68B71284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Kingston University</w:t>
            </w:r>
          </w:p>
        </w:tc>
      </w:tr>
      <w:tr w:rsidR="00290B6E" w14:paraId="1E228BB3" w14:textId="77777777" w:rsidTr="00640E3E">
        <w:tc>
          <w:tcPr>
            <w:tcW w:w="3005" w:type="dxa"/>
          </w:tcPr>
          <w:p w14:paraId="071701AB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18A7BFE3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767914DE" w14:textId="524E2E44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Lancaster University</w:t>
            </w:r>
          </w:p>
        </w:tc>
      </w:tr>
      <w:tr w:rsidR="00290B6E" w14:paraId="71691885" w14:textId="77777777" w:rsidTr="00640E3E">
        <w:tc>
          <w:tcPr>
            <w:tcW w:w="3005" w:type="dxa"/>
          </w:tcPr>
          <w:p w14:paraId="170206E7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43CF84A4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0B204E50" w14:textId="1C51B82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Leeds Beckett University</w:t>
            </w:r>
          </w:p>
        </w:tc>
      </w:tr>
      <w:tr w:rsidR="00290B6E" w14:paraId="5F10F015" w14:textId="77777777" w:rsidTr="00640E3E">
        <w:tc>
          <w:tcPr>
            <w:tcW w:w="3005" w:type="dxa"/>
          </w:tcPr>
          <w:p w14:paraId="124AE7B5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5EA7B4B6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62CC9F87" w14:textId="061274A8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Liverpool Institute of Performing Arts</w:t>
            </w:r>
          </w:p>
        </w:tc>
      </w:tr>
      <w:tr w:rsidR="00290B6E" w14:paraId="30BAAEFB" w14:textId="77777777" w:rsidTr="00640E3E">
        <w:tc>
          <w:tcPr>
            <w:tcW w:w="3005" w:type="dxa"/>
          </w:tcPr>
          <w:p w14:paraId="7E203863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35203403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2F782F48" w14:textId="0D120542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 xml:space="preserve">Liverpool John </w:t>
            </w:r>
            <w:proofErr w:type="spellStart"/>
            <w:r w:rsidRPr="00A23C89">
              <w:t>Moores</w:t>
            </w:r>
            <w:proofErr w:type="spellEnd"/>
            <w:r w:rsidRPr="00A23C89">
              <w:t xml:space="preserve"> University</w:t>
            </w:r>
          </w:p>
        </w:tc>
      </w:tr>
      <w:tr w:rsidR="00290B6E" w14:paraId="6EAC9AB3" w14:textId="77777777" w:rsidTr="00640E3E">
        <w:tc>
          <w:tcPr>
            <w:tcW w:w="3005" w:type="dxa"/>
          </w:tcPr>
          <w:p w14:paraId="0A8A4967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762EAC16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778CC69E" w14:textId="07607F9C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London Metropolitan University</w:t>
            </w:r>
          </w:p>
        </w:tc>
      </w:tr>
      <w:tr w:rsidR="00290B6E" w14:paraId="6E7D3664" w14:textId="77777777" w:rsidTr="00640E3E">
        <w:tc>
          <w:tcPr>
            <w:tcW w:w="3005" w:type="dxa"/>
          </w:tcPr>
          <w:p w14:paraId="4025CEF6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0581892A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5577C2E9" w14:textId="1C0C33DA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 xml:space="preserve">London School </w:t>
            </w:r>
            <w:proofErr w:type="gramStart"/>
            <w:r w:rsidRPr="00A23C89">
              <w:t>Of</w:t>
            </w:r>
            <w:proofErr w:type="gramEnd"/>
            <w:r w:rsidRPr="00A23C89">
              <w:t xml:space="preserve"> Economics And Political Science</w:t>
            </w:r>
          </w:p>
        </w:tc>
      </w:tr>
      <w:tr w:rsidR="00290B6E" w14:paraId="10AE23B3" w14:textId="77777777" w:rsidTr="00640E3E">
        <w:tc>
          <w:tcPr>
            <w:tcW w:w="3005" w:type="dxa"/>
          </w:tcPr>
          <w:p w14:paraId="76EA2DDC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10EE4451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1FBF806A" w14:textId="1B2E042B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Manchester Metropolitan University</w:t>
            </w:r>
          </w:p>
        </w:tc>
      </w:tr>
      <w:tr w:rsidR="00290B6E" w14:paraId="4FC22FC9" w14:textId="77777777" w:rsidTr="00640E3E">
        <w:tc>
          <w:tcPr>
            <w:tcW w:w="3005" w:type="dxa"/>
          </w:tcPr>
          <w:p w14:paraId="63C699F5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550D3354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767709DC" w14:textId="4F62B485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Middlesex University</w:t>
            </w:r>
          </w:p>
        </w:tc>
      </w:tr>
      <w:tr w:rsidR="00290B6E" w14:paraId="4FED74BE" w14:textId="77777777" w:rsidTr="00640E3E">
        <w:tc>
          <w:tcPr>
            <w:tcW w:w="3005" w:type="dxa"/>
          </w:tcPr>
          <w:p w14:paraId="7FF6A657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34585DA7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3D0DA7DC" w14:textId="18B4366C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Newcastle University</w:t>
            </w:r>
          </w:p>
        </w:tc>
      </w:tr>
      <w:tr w:rsidR="00290B6E" w14:paraId="6EE12F7F" w14:textId="77777777" w:rsidTr="00640E3E">
        <w:tc>
          <w:tcPr>
            <w:tcW w:w="3005" w:type="dxa"/>
          </w:tcPr>
          <w:p w14:paraId="6B0F9A6A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50A3B28B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330556D6" w14:textId="54989A7C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Northumbria University Newcastle</w:t>
            </w:r>
          </w:p>
        </w:tc>
      </w:tr>
      <w:tr w:rsidR="00290B6E" w14:paraId="07FA3177" w14:textId="77777777" w:rsidTr="00640E3E">
        <w:tc>
          <w:tcPr>
            <w:tcW w:w="3005" w:type="dxa"/>
          </w:tcPr>
          <w:p w14:paraId="2CEB1463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5179D5C2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4A0A4B5E" w14:textId="7D6B6B4C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Nottingham Trent University</w:t>
            </w:r>
          </w:p>
        </w:tc>
      </w:tr>
      <w:tr w:rsidR="00290B6E" w14:paraId="667B65C5" w14:textId="77777777" w:rsidTr="00640E3E">
        <w:tc>
          <w:tcPr>
            <w:tcW w:w="3005" w:type="dxa"/>
          </w:tcPr>
          <w:p w14:paraId="3D58396D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7C9FE123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1C8CF40D" w14:textId="1D00442A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Oxford Brookes University</w:t>
            </w:r>
          </w:p>
        </w:tc>
      </w:tr>
      <w:tr w:rsidR="00290B6E" w14:paraId="6741FE2E" w14:textId="77777777" w:rsidTr="00640E3E">
        <w:tc>
          <w:tcPr>
            <w:tcW w:w="3005" w:type="dxa"/>
          </w:tcPr>
          <w:p w14:paraId="14EBFF21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3CA747DD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787CCFEF" w14:textId="2E43B4FC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Pearson College London</w:t>
            </w:r>
          </w:p>
        </w:tc>
      </w:tr>
      <w:tr w:rsidR="00290B6E" w14:paraId="728EA24D" w14:textId="77777777" w:rsidTr="00640E3E">
        <w:tc>
          <w:tcPr>
            <w:tcW w:w="3005" w:type="dxa"/>
          </w:tcPr>
          <w:p w14:paraId="27831AD6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6BA94827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5841E22C" w14:textId="7682E416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 xml:space="preserve">Plymouth </w:t>
            </w:r>
            <w:proofErr w:type="spellStart"/>
            <w:r w:rsidRPr="00A23C89">
              <w:t>Marjon</w:t>
            </w:r>
            <w:proofErr w:type="spellEnd"/>
            <w:r w:rsidRPr="00A23C89">
              <w:t xml:space="preserve"> University</w:t>
            </w:r>
          </w:p>
        </w:tc>
      </w:tr>
      <w:tr w:rsidR="00290B6E" w14:paraId="66B95759" w14:textId="77777777" w:rsidTr="00640E3E">
        <w:tc>
          <w:tcPr>
            <w:tcW w:w="3005" w:type="dxa"/>
          </w:tcPr>
          <w:p w14:paraId="4DDF9170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14DB63C3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3F8EDCCC" w14:textId="16751735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 xml:space="preserve">Queen Mary, University </w:t>
            </w:r>
            <w:proofErr w:type="gramStart"/>
            <w:r w:rsidRPr="00A23C89">
              <w:t>Of</w:t>
            </w:r>
            <w:proofErr w:type="gramEnd"/>
            <w:r w:rsidRPr="00A23C89">
              <w:t xml:space="preserve"> London</w:t>
            </w:r>
          </w:p>
        </w:tc>
      </w:tr>
      <w:tr w:rsidR="00290B6E" w14:paraId="0BEBD154" w14:textId="77777777" w:rsidTr="00640E3E">
        <w:tc>
          <w:tcPr>
            <w:tcW w:w="3005" w:type="dxa"/>
          </w:tcPr>
          <w:p w14:paraId="1AE40601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38C7279C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4B475DF1" w14:textId="2507FF6F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Ravensbourne University London</w:t>
            </w:r>
          </w:p>
        </w:tc>
      </w:tr>
      <w:tr w:rsidR="00290B6E" w14:paraId="71AA2561" w14:textId="77777777" w:rsidTr="00640E3E">
        <w:tc>
          <w:tcPr>
            <w:tcW w:w="3005" w:type="dxa"/>
          </w:tcPr>
          <w:p w14:paraId="2EB59D9B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086BFC7C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31C1C4DD" w14:textId="3EDEFB20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Royal Agricultural University</w:t>
            </w:r>
          </w:p>
        </w:tc>
      </w:tr>
      <w:tr w:rsidR="00290B6E" w14:paraId="0399815C" w14:textId="77777777" w:rsidTr="00640E3E">
        <w:tc>
          <w:tcPr>
            <w:tcW w:w="3005" w:type="dxa"/>
          </w:tcPr>
          <w:p w14:paraId="23777DC4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3A2088CB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0D2C9D41" w14:textId="0B54BE24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Sheffield Hallam University</w:t>
            </w:r>
          </w:p>
        </w:tc>
      </w:tr>
      <w:tr w:rsidR="00290B6E" w14:paraId="2DA4CFD6" w14:textId="77777777" w:rsidTr="00640E3E">
        <w:tc>
          <w:tcPr>
            <w:tcW w:w="3005" w:type="dxa"/>
          </w:tcPr>
          <w:p w14:paraId="4A11D744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297C3A39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1DD2737A" w14:textId="4D0F1171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SOAS, University of London</w:t>
            </w:r>
          </w:p>
        </w:tc>
      </w:tr>
      <w:tr w:rsidR="00290B6E" w14:paraId="0738A4C4" w14:textId="77777777" w:rsidTr="00640E3E">
        <w:tc>
          <w:tcPr>
            <w:tcW w:w="3005" w:type="dxa"/>
          </w:tcPr>
          <w:p w14:paraId="0F09CD74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061B9597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6B46690A" w14:textId="561CF5E4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Southampton Solent University</w:t>
            </w:r>
          </w:p>
        </w:tc>
      </w:tr>
      <w:tr w:rsidR="00290B6E" w14:paraId="488D9059" w14:textId="77777777" w:rsidTr="00640E3E">
        <w:tc>
          <w:tcPr>
            <w:tcW w:w="3005" w:type="dxa"/>
          </w:tcPr>
          <w:p w14:paraId="659CC471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4A2922F4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272EC6CE" w14:textId="3011FD80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South Essex College</w:t>
            </w:r>
          </w:p>
        </w:tc>
      </w:tr>
      <w:tr w:rsidR="00290B6E" w14:paraId="35DFC8E2" w14:textId="77777777" w:rsidTr="00640E3E">
        <w:tc>
          <w:tcPr>
            <w:tcW w:w="3005" w:type="dxa"/>
          </w:tcPr>
          <w:p w14:paraId="06F128DA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6CB8D6EF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0A1A8151" w14:textId="3D36F0E4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St George’s, University of London</w:t>
            </w:r>
          </w:p>
        </w:tc>
      </w:tr>
      <w:tr w:rsidR="00290B6E" w14:paraId="59791A90" w14:textId="77777777" w:rsidTr="00640E3E">
        <w:tc>
          <w:tcPr>
            <w:tcW w:w="3005" w:type="dxa"/>
          </w:tcPr>
          <w:p w14:paraId="75A3AE9A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236E53AA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5A8C7533" w14:textId="7FC4290D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St Mary’s University, Twickenham</w:t>
            </w:r>
          </w:p>
        </w:tc>
      </w:tr>
      <w:tr w:rsidR="00290B6E" w14:paraId="33E55534" w14:textId="77777777" w:rsidTr="00640E3E">
        <w:tc>
          <w:tcPr>
            <w:tcW w:w="3005" w:type="dxa"/>
          </w:tcPr>
          <w:p w14:paraId="2BACFF63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26CE4611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5262D07E" w14:textId="2367C9D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Staffordshire University</w:t>
            </w:r>
          </w:p>
        </w:tc>
      </w:tr>
      <w:tr w:rsidR="00290B6E" w14:paraId="542B85CA" w14:textId="77777777" w:rsidTr="00640E3E">
        <w:tc>
          <w:tcPr>
            <w:tcW w:w="3005" w:type="dxa"/>
          </w:tcPr>
          <w:p w14:paraId="248617B1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47479500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202C0794" w14:textId="5FB70928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Teesside University</w:t>
            </w:r>
          </w:p>
        </w:tc>
      </w:tr>
      <w:tr w:rsidR="00290B6E" w14:paraId="30C8876C" w14:textId="77777777" w:rsidTr="00640E3E">
        <w:tc>
          <w:tcPr>
            <w:tcW w:w="3005" w:type="dxa"/>
          </w:tcPr>
          <w:p w14:paraId="1B538025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6D67D17F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42DCEEF8" w14:textId="0BE72B63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University College London</w:t>
            </w:r>
          </w:p>
        </w:tc>
      </w:tr>
      <w:tr w:rsidR="00290B6E" w14:paraId="2BCEEF10" w14:textId="77777777" w:rsidTr="00640E3E">
        <w:tc>
          <w:tcPr>
            <w:tcW w:w="3005" w:type="dxa"/>
          </w:tcPr>
          <w:p w14:paraId="6386723C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37D96680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2A3E1C43" w14:textId="3E781F00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University for the Creative Arts</w:t>
            </w:r>
          </w:p>
        </w:tc>
      </w:tr>
      <w:tr w:rsidR="00290B6E" w14:paraId="33DA232B" w14:textId="77777777" w:rsidTr="00640E3E">
        <w:tc>
          <w:tcPr>
            <w:tcW w:w="3005" w:type="dxa"/>
          </w:tcPr>
          <w:p w14:paraId="2EEF2D28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28A432F2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3E433878" w14:textId="214A1905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University of Bath</w:t>
            </w:r>
          </w:p>
        </w:tc>
      </w:tr>
      <w:tr w:rsidR="00290B6E" w14:paraId="41FA7DEB" w14:textId="77777777" w:rsidTr="00640E3E">
        <w:tc>
          <w:tcPr>
            <w:tcW w:w="3005" w:type="dxa"/>
          </w:tcPr>
          <w:p w14:paraId="7F07CDC3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696DBA95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319BD300" w14:textId="32AE9C60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University of Bedfordshire</w:t>
            </w:r>
          </w:p>
        </w:tc>
      </w:tr>
      <w:tr w:rsidR="00290B6E" w14:paraId="7C5E9FE9" w14:textId="77777777" w:rsidTr="00640E3E">
        <w:tc>
          <w:tcPr>
            <w:tcW w:w="3005" w:type="dxa"/>
          </w:tcPr>
          <w:p w14:paraId="738D2FD5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0A70EEB3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2982074B" w14:textId="6FB1D442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University of Brighton</w:t>
            </w:r>
          </w:p>
        </w:tc>
      </w:tr>
      <w:tr w:rsidR="00290B6E" w14:paraId="089E593E" w14:textId="77777777" w:rsidTr="00640E3E">
        <w:tc>
          <w:tcPr>
            <w:tcW w:w="3005" w:type="dxa"/>
          </w:tcPr>
          <w:p w14:paraId="489B80D9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10AAE75E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077AAF28" w14:textId="1428C976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University of Bristol</w:t>
            </w:r>
          </w:p>
        </w:tc>
      </w:tr>
      <w:tr w:rsidR="00290B6E" w14:paraId="63BFD5CE" w14:textId="77777777" w:rsidTr="00640E3E">
        <w:tc>
          <w:tcPr>
            <w:tcW w:w="3005" w:type="dxa"/>
          </w:tcPr>
          <w:p w14:paraId="263198F6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57C5E098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5D460F25" w14:textId="7BC5737A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University of Cambridge</w:t>
            </w:r>
          </w:p>
        </w:tc>
      </w:tr>
      <w:tr w:rsidR="00290B6E" w14:paraId="3B65D8DA" w14:textId="77777777" w:rsidTr="00640E3E">
        <w:tc>
          <w:tcPr>
            <w:tcW w:w="3005" w:type="dxa"/>
          </w:tcPr>
          <w:p w14:paraId="523D164D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0C8D6FC0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2904E22E" w14:textId="60EC17B0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University of Central Lancashire</w:t>
            </w:r>
          </w:p>
        </w:tc>
      </w:tr>
      <w:tr w:rsidR="00290B6E" w14:paraId="2EDD27AB" w14:textId="77777777" w:rsidTr="00640E3E">
        <w:tc>
          <w:tcPr>
            <w:tcW w:w="3005" w:type="dxa"/>
          </w:tcPr>
          <w:p w14:paraId="433E324A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441C072A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024BBEA3" w14:textId="5C55AB41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University of Chester</w:t>
            </w:r>
          </w:p>
        </w:tc>
      </w:tr>
      <w:tr w:rsidR="00290B6E" w14:paraId="4B93D4B9" w14:textId="77777777" w:rsidTr="00640E3E">
        <w:tc>
          <w:tcPr>
            <w:tcW w:w="3005" w:type="dxa"/>
          </w:tcPr>
          <w:p w14:paraId="38B0E84E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75CCC0CA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4B0CF806" w14:textId="5D97C12A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University of Cumbria</w:t>
            </w:r>
          </w:p>
        </w:tc>
      </w:tr>
      <w:tr w:rsidR="00290B6E" w14:paraId="4FCACF53" w14:textId="77777777" w:rsidTr="00640E3E">
        <w:tc>
          <w:tcPr>
            <w:tcW w:w="3005" w:type="dxa"/>
          </w:tcPr>
          <w:p w14:paraId="276CB50C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106A59E7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5B07A827" w14:textId="21DA5F52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University of East Anglia</w:t>
            </w:r>
          </w:p>
        </w:tc>
      </w:tr>
      <w:tr w:rsidR="00290B6E" w14:paraId="35595A31" w14:textId="77777777" w:rsidTr="00640E3E">
        <w:tc>
          <w:tcPr>
            <w:tcW w:w="3005" w:type="dxa"/>
          </w:tcPr>
          <w:p w14:paraId="630628B5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7E54900D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0D273CEF" w14:textId="51879851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University of East London</w:t>
            </w:r>
          </w:p>
        </w:tc>
      </w:tr>
      <w:tr w:rsidR="00290B6E" w14:paraId="79A6704F" w14:textId="77777777" w:rsidTr="00640E3E">
        <w:tc>
          <w:tcPr>
            <w:tcW w:w="3005" w:type="dxa"/>
          </w:tcPr>
          <w:p w14:paraId="709CE544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4E1457F0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7D7E844D" w14:textId="59EB38DC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University of Essex</w:t>
            </w:r>
          </w:p>
        </w:tc>
      </w:tr>
      <w:tr w:rsidR="00290B6E" w14:paraId="72A9829B" w14:textId="77777777" w:rsidTr="00640E3E">
        <w:tc>
          <w:tcPr>
            <w:tcW w:w="3005" w:type="dxa"/>
          </w:tcPr>
          <w:p w14:paraId="2CC8DEF9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311EB21A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01A35967" w14:textId="2FF13D2B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University of Exeter</w:t>
            </w:r>
          </w:p>
        </w:tc>
      </w:tr>
      <w:tr w:rsidR="00290B6E" w14:paraId="5FB8E968" w14:textId="77777777" w:rsidTr="00640E3E">
        <w:tc>
          <w:tcPr>
            <w:tcW w:w="3005" w:type="dxa"/>
          </w:tcPr>
          <w:p w14:paraId="4B899E58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798C8469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1EC0A64F" w14:textId="54C46E04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University of Gloucestershire</w:t>
            </w:r>
          </w:p>
        </w:tc>
      </w:tr>
      <w:tr w:rsidR="00290B6E" w14:paraId="7A652868" w14:textId="77777777" w:rsidTr="00640E3E">
        <w:tc>
          <w:tcPr>
            <w:tcW w:w="3005" w:type="dxa"/>
          </w:tcPr>
          <w:p w14:paraId="6DD8654D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21B33F26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748A582A" w14:textId="0EBD6FAA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University of Greenwich</w:t>
            </w:r>
          </w:p>
        </w:tc>
      </w:tr>
      <w:tr w:rsidR="00290B6E" w14:paraId="2A850A10" w14:textId="77777777" w:rsidTr="00640E3E">
        <w:tc>
          <w:tcPr>
            <w:tcW w:w="3005" w:type="dxa"/>
          </w:tcPr>
          <w:p w14:paraId="20F43220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5333B6F6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01FEE432" w14:textId="147188EE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University of Hertfordshire</w:t>
            </w:r>
          </w:p>
        </w:tc>
      </w:tr>
      <w:tr w:rsidR="00290B6E" w14:paraId="18D6569A" w14:textId="77777777" w:rsidTr="00640E3E">
        <w:tc>
          <w:tcPr>
            <w:tcW w:w="3005" w:type="dxa"/>
          </w:tcPr>
          <w:p w14:paraId="083584CC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08343791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564464A8" w14:textId="629EC0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University of Hull</w:t>
            </w:r>
          </w:p>
        </w:tc>
      </w:tr>
      <w:tr w:rsidR="00290B6E" w14:paraId="7992F214" w14:textId="77777777" w:rsidTr="00640E3E">
        <w:tc>
          <w:tcPr>
            <w:tcW w:w="3005" w:type="dxa"/>
          </w:tcPr>
          <w:p w14:paraId="5F7443B9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0A56F3CA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44D34F38" w14:textId="7F4A834C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University of Kent</w:t>
            </w:r>
          </w:p>
        </w:tc>
      </w:tr>
      <w:tr w:rsidR="00290B6E" w14:paraId="5F741826" w14:textId="77777777" w:rsidTr="00640E3E">
        <w:tc>
          <w:tcPr>
            <w:tcW w:w="3005" w:type="dxa"/>
          </w:tcPr>
          <w:p w14:paraId="51CC0B47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1BD984CD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02C8766E" w14:textId="689BF44A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University of Leeds</w:t>
            </w:r>
          </w:p>
        </w:tc>
      </w:tr>
      <w:tr w:rsidR="00290B6E" w14:paraId="66FEABF3" w14:textId="77777777" w:rsidTr="00640E3E">
        <w:tc>
          <w:tcPr>
            <w:tcW w:w="3005" w:type="dxa"/>
          </w:tcPr>
          <w:p w14:paraId="17C4A157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6D6E338F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37BCF48E" w14:textId="41F7BA7C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University of Leicester</w:t>
            </w:r>
          </w:p>
        </w:tc>
      </w:tr>
      <w:tr w:rsidR="00290B6E" w14:paraId="6671587D" w14:textId="77777777" w:rsidTr="00640E3E">
        <w:tc>
          <w:tcPr>
            <w:tcW w:w="3005" w:type="dxa"/>
          </w:tcPr>
          <w:p w14:paraId="06444E3B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0579EABB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312EAB60" w14:textId="57BA0DB3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University of Liverpool</w:t>
            </w:r>
          </w:p>
        </w:tc>
      </w:tr>
      <w:tr w:rsidR="00290B6E" w14:paraId="4EB470ED" w14:textId="77777777" w:rsidTr="00640E3E">
        <w:tc>
          <w:tcPr>
            <w:tcW w:w="3005" w:type="dxa"/>
          </w:tcPr>
          <w:p w14:paraId="3C22A34F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17DFE452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0346D05F" w14:textId="17AC6006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University of Manchester</w:t>
            </w:r>
          </w:p>
        </w:tc>
      </w:tr>
      <w:tr w:rsidR="00290B6E" w14:paraId="6FB20E42" w14:textId="77777777" w:rsidTr="00640E3E">
        <w:tc>
          <w:tcPr>
            <w:tcW w:w="3005" w:type="dxa"/>
          </w:tcPr>
          <w:p w14:paraId="417A5A63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0DEA4E2D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70C5CF63" w14:textId="4AEC9168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University of Northampton</w:t>
            </w:r>
          </w:p>
        </w:tc>
      </w:tr>
      <w:tr w:rsidR="00290B6E" w14:paraId="15632F37" w14:textId="77777777" w:rsidTr="00640E3E">
        <w:tc>
          <w:tcPr>
            <w:tcW w:w="3005" w:type="dxa"/>
          </w:tcPr>
          <w:p w14:paraId="698A0723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6F40B2D6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2019B5E1" w14:textId="70932AB4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University of Oxford</w:t>
            </w:r>
          </w:p>
        </w:tc>
      </w:tr>
      <w:tr w:rsidR="00290B6E" w14:paraId="5AAACBD7" w14:textId="77777777" w:rsidTr="00640E3E">
        <w:tc>
          <w:tcPr>
            <w:tcW w:w="3005" w:type="dxa"/>
          </w:tcPr>
          <w:p w14:paraId="50972F5C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5300BC2E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5E400FCB" w14:textId="58DA391E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University of Plymouth</w:t>
            </w:r>
          </w:p>
        </w:tc>
      </w:tr>
      <w:tr w:rsidR="00290B6E" w14:paraId="24A714D2" w14:textId="77777777" w:rsidTr="00640E3E">
        <w:tc>
          <w:tcPr>
            <w:tcW w:w="3005" w:type="dxa"/>
          </w:tcPr>
          <w:p w14:paraId="6B3190FD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67942AD3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3A3BD6AA" w14:textId="46CE2C4F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University of Portsmouth</w:t>
            </w:r>
          </w:p>
        </w:tc>
      </w:tr>
      <w:tr w:rsidR="00290B6E" w14:paraId="5334E1A6" w14:textId="77777777" w:rsidTr="00640E3E">
        <w:tc>
          <w:tcPr>
            <w:tcW w:w="3005" w:type="dxa"/>
          </w:tcPr>
          <w:p w14:paraId="3972687A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751ED8A0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3B6956D4" w14:textId="6E86A891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University of Reading</w:t>
            </w:r>
          </w:p>
        </w:tc>
      </w:tr>
      <w:tr w:rsidR="00290B6E" w14:paraId="41D91B73" w14:textId="77777777" w:rsidTr="00640E3E">
        <w:tc>
          <w:tcPr>
            <w:tcW w:w="3005" w:type="dxa"/>
          </w:tcPr>
          <w:p w14:paraId="0C6E921C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5" w:type="dxa"/>
          </w:tcPr>
          <w:p w14:paraId="08E7F9C4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46659384" w14:textId="3EFDA2A9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University of Salford</w:t>
            </w:r>
          </w:p>
        </w:tc>
      </w:tr>
      <w:tr w:rsidR="00290B6E" w14:paraId="2533BCEA" w14:textId="77777777" w:rsidTr="00640E3E">
        <w:tc>
          <w:tcPr>
            <w:tcW w:w="3005" w:type="dxa"/>
          </w:tcPr>
          <w:p w14:paraId="2E5FA44F" w14:textId="77777777" w:rsidR="00290B6E" w:rsidRDefault="00290B6E" w:rsidP="00290B6E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14:paraId="262F40A5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7DCFBA87" w14:textId="2355FB19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University of Sheffield</w:t>
            </w:r>
          </w:p>
        </w:tc>
      </w:tr>
      <w:tr w:rsidR="00290B6E" w14:paraId="29C1F37E" w14:textId="77777777" w:rsidTr="00640E3E">
        <w:tc>
          <w:tcPr>
            <w:tcW w:w="3005" w:type="dxa"/>
          </w:tcPr>
          <w:p w14:paraId="64E821E4" w14:textId="77777777" w:rsidR="00290B6E" w:rsidRDefault="00290B6E" w:rsidP="00290B6E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14:paraId="38691A18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331AE4A2" w14:textId="348EAF6C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University of Southampton</w:t>
            </w:r>
          </w:p>
        </w:tc>
      </w:tr>
      <w:tr w:rsidR="00290B6E" w14:paraId="10277A0D" w14:textId="77777777" w:rsidTr="00640E3E">
        <w:tc>
          <w:tcPr>
            <w:tcW w:w="3005" w:type="dxa"/>
          </w:tcPr>
          <w:p w14:paraId="5DB2D44C" w14:textId="77777777" w:rsidR="00290B6E" w:rsidRDefault="00290B6E" w:rsidP="00290B6E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14:paraId="30874A71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513F9AEE" w14:textId="60EC84B2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University of Suffolk</w:t>
            </w:r>
          </w:p>
        </w:tc>
      </w:tr>
      <w:tr w:rsidR="00290B6E" w14:paraId="05D70B49" w14:textId="77777777" w:rsidTr="00640E3E">
        <w:tc>
          <w:tcPr>
            <w:tcW w:w="3005" w:type="dxa"/>
          </w:tcPr>
          <w:p w14:paraId="24AEEF2A" w14:textId="77777777" w:rsidR="00290B6E" w:rsidRDefault="00290B6E" w:rsidP="00290B6E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14:paraId="6619D75A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08678146" w14:textId="6CAB7EEC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University of Sunderland</w:t>
            </w:r>
          </w:p>
        </w:tc>
      </w:tr>
      <w:tr w:rsidR="00290B6E" w14:paraId="0ABD2501" w14:textId="77777777" w:rsidTr="00640E3E">
        <w:tc>
          <w:tcPr>
            <w:tcW w:w="3005" w:type="dxa"/>
          </w:tcPr>
          <w:p w14:paraId="74818F30" w14:textId="77777777" w:rsidR="00290B6E" w:rsidRDefault="00290B6E" w:rsidP="00290B6E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14:paraId="295F0F10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3ED19E92" w14:textId="0A3110E9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University of Surrey</w:t>
            </w:r>
          </w:p>
        </w:tc>
      </w:tr>
      <w:tr w:rsidR="00290B6E" w14:paraId="327775A2" w14:textId="77777777" w:rsidTr="00640E3E">
        <w:tc>
          <w:tcPr>
            <w:tcW w:w="3005" w:type="dxa"/>
          </w:tcPr>
          <w:p w14:paraId="0E24F2B0" w14:textId="77777777" w:rsidR="00290B6E" w:rsidRDefault="00290B6E" w:rsidP="00290B6E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14:paraId="3A7F0129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355C56B7" w14:textId="176260C9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University of Sussex</w:t>
            </w:r>
          </w:p>
        </w:tc>
      </w:tr>
      <w:tr w:rsidR="00290B6E" w14:paraId="3292F135" w14:textId="77777777" w:rsidTr="00640E3E">
        <w:tc>
          <w:tcPr>
            <w:tcW w:w="3005" w:type="dxa"/>
          </w:tcPr>
          <w:p w14:paraId="3A3F6F52" w14:textId="77777777" w:rsidR="00290B6E" w:rsidRDefault="00290B6E" w:rsidP="00290B6E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14:paraId="2E9E7342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0FB875FC" w14:textId="3427C3F4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University of the West of England, Bristol</w:t>
            </w:r>
          </w:p>
        </w:tc>
      </w:tr>
      <w:tr w:rsidR="00290B6E" w14:paraId="24F5E80C" w14:textId="77777777" w:rsidTr="00640E3E">
        <w:tc>
          <w:tcPr>
            <w:tcW w:w="3005" w:type="dxa"/>
          </w:tcPr>
          <w:p w14:paraId="44AEA705" w14:textId="77777777" w:rsidR="00290B6E" w:rsidRDefault="00290B6E" w:rsidP="00290B6E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14:paraId="7B4A3212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686FD2C6" w14:textId="749545AC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University of Warwick</w:t>
            </w:r>
          </w:p>
        </w:tc>
      </w:tr>
      <w:tr w:rsidR="00290B6E" w14:paraId="2C8EDEBA" w14:textId="77777777" w:rsidTr="00640E3E">
        <w:tc>
          <w:tcPr>
            <w:tcW w:w="3005" w:type="dxa"/>
          </w:tcPr>
          <w:p w14:paraId="6A4BC515" w14:textId="77777777" w:rsidR="00290B6E" w:rsidRDefault="00290B6E" w:rsidP="00290B6E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14:paraId="77D4A811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34409487" w14:textId="1D9ED61E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University of West London</w:t>
            </w:r>
          </w:p>
        </w:tc>
      </w:tr>
      <w:tr w:rsidR="00290B6E" w14:paraId="38DDA34B" w14:textId="77777777" w:rsidTr="00640E3E">
        <w:tc>
          <w:tcPr>
            <w:tcW w:w="3005" w:type="dxa"/>
          </w:tcPr>
          <w:p w14:paraId="3C77F9D0" w14:textId="77777777" w:rsidR="00290B6E" w:rsidRDefault="00290B6E" w:rsidP="00290B6E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14:paraId="61B77112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5579B33A" w14:textId="7188EF79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University of Winchester</w:t>
            </w:r>
          </w:p>
        </w:tc>
      </w:tr>
      <w:tr w:rsidR="00290B6E" w14:paraId="2FD8C2AE" w14:textId="77777777" w:rsidTr="00640E3E">
        <w:tc>
          <w:tcPr>
            <w:tcW w:w="3005" w:type="dxa"/>
          </w:tcPr>
          <w:p w14:paraId="3E505A87" w14:textId="77777777" w:rsidR="00290B6E" w:rsidRDefault="00290B6E" w:rsidP="00290B6E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14:paraId="2BADC802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44DEBBD5" w14:textId="2D57E61A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University of Wolverhampton</w:t>
            </w:r>
          </w:p>
        </w:tc>
      </w:tr>
      <w:tr w:rsidR="00290B6E" w14:paraId="51259C28" w14:textId="77777777" w:rsidTr="00640E3E">
        <w:tc>
          <w:tcPr>
            <w:tcW w:w="3005" w:type="dxa"/>
          </w:tcPr>
          <w:p w14:paraId="430456A2" w14:textId="77777777" w:rsidR="00290B6E" w:rsidRDefault="00290B6E" w:rsidP="00290B6E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14:paraId="187C5DCB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7626FF86" w14:textId="202331B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University of York</w:t>
            </w:r>
          </w:p>
        </w:tc>
      </w:tr>
      <w:tr w:rsidR="00290B6E" w14:paraId="4733D38D" w14:textId="77777777" w:rsidTr="00640E3E">
        <w:tc>
          <w:tcPr>
            <w:tcW w:w="3005" w:type="dxa"/>
          </w:tcPr>
          <w:p w14:paraId="193065E2" w14:textId="77777777" w:rsidR="00290B6E" w:rsidRDefault="00290B6E" w:rsidP="00290B6E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14:paraId="70C14D37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42BC2713" w14:textId="0136EACA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York St John University</w:t>
            </w:r>
          </w:p>
        </w:tc>
      </w:tr>
      <w:tr w:rsidR="00290B6E" w14:paraId="1F4B2DEB" w14:textId="77777777" w:rsidTr="00640E3E">
        <w:tc>
          <w:tcPr>
            <w:tcW w:w="3005" w:type="dxa"/>
          </w:tcPr>
          <w:p w14:paraId="01315EA3" w14:textId="77777777" w:rsidR="00290B6E" w:rsidRDefault="00290B6E" w:rsidP="00290B6E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14:paraId="5E083AA0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7CBDFACB" w14:textId="32D9E86D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Aspire Higher</w:t>
            </w:r>
          </w:p>
        </w:tc>
      </w:tr>
      <w:tr w:rsidR="00290B6E" w14:paraId="43B751D2" w14:textId="77777777" w:rsidTr="00640E3E">
        <w:tc>
          <w:tcPr>
            <w:tcW w:w="3005" w:type="dxa"/>
          </w:tcPr>
          <w:p w14:paraId="6B66EE52" w14:textId="77777777" w:rsidR="00290B6E" w:rsidRDefault="00290B6E" w:rsidP="00290B6E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14:paraId="66D1AC5C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14CE26E8" w14:textId="6CB67B68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Aspire to HE</w:t>
            </w:r>
          </w:p>
        </w:tc>
      </w:tr>
      <w:tr w:rsidR="00290B6E" w14:paraId="30A2C011" w14:textId="77777777" w:rsidTr="00640E3E">
        <w:tc>
          <w:tcPr>
            <w:tcW w:w="3005" w:type="dxa"/>
          </w:tcPr>
          <w:p w14:paraId="1A72824F" w14:textId="77777777" w:rsidR="00290B6E" w:rsidRDefault="00290B6E" w:rsidP="00290B6E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14:paraId="35FDC932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641C66DB" w14:textId="2FA93A02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proofErr w:type="spellStart"/>
            <w:r w:rsidRPr="00A23C89">
              <w:t>FutureHY</w:t>
            </w:r>
            <w:proofErr w:type="spellEnd"/>
          </w:p>
        </w:tc>
      </w:tr>
      <w:tr w:rsidR="00290B6E" w14:paraId="3D34A9AB" w14:textId="77777777" w:rsidTr="00640E3E">
        <w:tc>
          <w:tcPr>
            <w:tcW w:w="3005" w:type="dxa"/>
          </w:tcPr>
          <w:p w14:paraId="0B76548F" w14:textId="77777777" w:rsidR="00290B6E" w:rsidRDefault="00290B6E" w:rsidP="00290B6E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14:paraId="559696E3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0D27715D" w14:textId="0A232C48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Future Quest</w:t>
            </w:r>
          </w:p>
        </w:tc>
      </w:tr>
      <w:tr w:rsidR="00290B6E" w14:paraId="1F0D286F" w14:textId="77777777" w:rsidTr="00640E3E">
        <w:tc>
          <w:tcPr>
            <w:tcW w:w="3005" w:type="dxa"/>
          </w:tcPr>
          <w:p w14:paraId="75D921EC" w14:textId="77777777" w:rsidR="00290B6E" w:rsidRDefault="00290B6E" w:rsidP="00290B6E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14:paraId="25F75758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1CDE8125" w14:textId="02667990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Future U</w:t>
            </w:r>
          </w:p>
        </w:tc>
      </w:tr>
      <w:tr w:rsidR="00290B6E" w14:paraId="015ACAD8" w14:textId="77777777" w:rsidTr="00640E3E">
        <w:tc>
          <w:tcPr>
            <w:tcW w:w="3005" w:type="dxa"/>
          </w:tcPr>
          <w:p w14:paraId="0E10252E" w14:textId="77777777" w:rsidR="00290B6E" w:rsidRDefault="00290B6E" w:rsidP="00290B6E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14:paraId="1C6F06F1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6A6A0BFD" w14:textId="30522DA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Go Higher West Yorkshire</w:t>
            </w:r>
          </w:p>
        </w:tc>
      </w:tr>
      <w:tr w:rsidR="00290B6E" w14:paraId="7E2FA617" w14:textId="77777777" w:rsidTr="00640E3E">
        <w:tc>
          <w:tcPr>
            <w:tcW w:w="3005" w:type="dxa"/>
          </w:tcPr>
          <w:p w14:paraId="455CA57C" w14:textId="77777777" w:rsidR="00290B6E" w:rsidRDefault="00290B6E" w:rsidP="00290B6E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14:paraId="0E4568CE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17D269C0" w14:textId="5BAE3D2E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Greater Manchester Higher</w:t>
            </w:r>
          </w:p>
        </w:tc>
      </w:tr>
      <w:tr w:rsidR="00290B6E" w14:paraId="535F484B" w14:textId="77777777" w:rsidTr="00640E3E">
        <w:tc>
          <w:tcPr>
            <w:tcW w:w="3005" w:type="dxa"/>
          </w:tcPr>
          <w:p w14:paraId="485C91D6" w14:textId="77777777" w:rsidR="00290B6E" w:rsidRDefault="00290B6E" w:rsidP="00290B6E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14:paraId="225389E6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79DDF725" w14:textId="466DF290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Grows (GAP)</w:t>
            </w:r>
          </w:p>
        </w:tc>
      </w:tr>
      <w:tr w:rsidR="00290B6E" w14:paraId="457B8067" w14:textId="77777777" w:rsidTr="00640E3E">
        <w:tc>
          <w:tcPr>
            <w:tcW w:w="3005" w:type="dxa"/>
          </w:tcPr>
          <w:p w14:paraId="3AC830BA" w14:textId="77777777" w:rsidR="00290B6E" w:rsidRDefault="00290B6E" w:rsidP="00290B6E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14:paraId="2D021F12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456EC4AA" w14:textId="02FF6AE3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proofErr w:type="spellStart"/>
            <w:r w:rsidRPr="00A23C89">
              <w:t>Hepp</w:t>
            </w:r>
            <w:proofErr w:type="spellEnd"/>
            <w:r w:rsidRPr="00A23C89">
              <w:t xml:space="preserve"> SY+</w:t>
            </w:r>
          </w:p>
        </w:tc>
      </w:tr>
      <w:tr w:rsidR="00290B6E" w14:paraId="5389AB56" w14:textId="77777777" w:rsidTr="00640E3E">
        <w:tc>
          <w:tcPr>
            <w:tcW w:w="3005" w:type="dxa"/>
          </w:tcPr>
          <w:p w14:paraId="290BCE30" w14:textId="77777777" w:rsidR="00290B6E" w:rsidRDefault="00290B6E" w:rsidP="00290B6E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14:paraId="44F1C2A2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09C4875D" w14:textId="1BB44183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proofErr w:type="gramStart"/>
            <w:r w:rsidRPr="00A23C89">
              <w:t>Hello Future</w:t>
            </w:r>
            <w:proofErr w:type="gramEnd"/>
          </w:p>
        </w:tc>
      </w:tr>
      <w:tr w:rsidR="00290B6E" w14:paraId="1E1ECDE7" w14:textId="77777777" w:rsidTr="00640E3E">
        <w:tc>
          <w:tcPr>
            <w:tcW w:w="3005" w:type="dxa"/>
          </w:tcPr>
          <w:p w14:paraId="6837B901" w14:textId="77777777" w:rsidR="00290B6E" w:rsidRDefault="00290B6E" w:rsidP="00290B6E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14:paraId="3CC14BAE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5E8136C3" w14:textId="6D41F729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Humber Outreach Programme (HOP)</w:t>
            </w:r>
          </w:p>
        </w:tc>
      </w:tr>
      <w:tr w:rsidR="00290B6E" w14:paraId="59DBCDB0" w14:textId="77777777" w:rsidTr="00640E3E">
        <w:tc>
          <w:tcPr>
            <w:tcW w:w="3005" w:type="dxa"/>
          </w:tcPr>
          <w:p w14:paraId="6640A8A9" w14:textId="77777777" w:rsidR="00290B6E" w:rsidRDefault="00290B6E" w:rsidP="00290B6E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14:paraId="59933B9A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0062657B" w14:textId="16B3D60F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Kent And Medway Collaborative Outreach Programme</w:t>
            </w:r>
          </w:p>
        </w:tc>
      </w:tr>
      <w:tr w:rsidR="00290B6E" w14:paraId="19DC056C" w14:textId="77777777" w:rsidTr="00640E3E">
        <w:tc>
          <w:tcPr>
            <w:tcW w:w="3005" w:type="dxa"/>
          </w:tcPr>
          <w:p w14:paraId="1153333F" w14:textId="77777777" w:rsidR="00290B6E" w:rsidRDefault="00290B6E" w:rsidP="00290B6E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14:paraId="3FE1A0B9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4DDFB2D2" w14:textId="0C27C229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London NCOP</w:t>
            </w:r>
          </w:p>
        </w:tc>
      </w:tr>
      <w:tr w:rsidR="00290B6E" w14:paraId="10E1CD95" w14:textId="77777777" w:rsidTr="00640E3E">
        <w:tc>
          <w:tcPr>
            <w:tcW w:w="3005" w:type="dxa"/>
          </w:tcPr>
          <w:p w14:paraId="21E6BE66" w14:textId="77777777" w:rsidR="00290B6E" w:rsidRDefault="00290B6E" w:rsidP="00290B6E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14:paraId="2C2303F5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565B8A9F" w14:textId="6C506806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Make Happen</w:t>
            </w:r>
          </w:p>
        </w:tc>
      </w:tr>
      <w:tr w:rsidR="00290B6E" w14:paraId="77DF7E1D" w14:textId="77777777" w:rsidTr="00640E3E">
        <w:tc>
          <w:tcPr>
            <w:tcW w:w="3005" w:type="dxa"/>
          </w:tcPr>
          <w:p w14:paraId="407F0A76" w14:textId="77777777" w:rsidR="00290B6E" w:rsidRDefault="00290B6E" w:rsidP="00290B6E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14:paraId="64C13019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625F2A1D" w14:textId="63B392CE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Network For East Anglian Collaborative Outreach (NEACO)</w:t>
            </w:r>
          </w:p>
        </w:tc>
      </w:tr>
      <w:tr w:rsidR="00290B6E" w14:paraId="52242949" w14:textId="77777777" w:rsidTr="00640E3E">
        <w:tc>
          <w:tcPr>
            <w:tcW w:w="3005" w:type="dxa"/>
          </w:tcPr>
          <w:p w14:paraId="7F424F0A" w14:textId="77777777" w:rsidR="00290B6E" w:rsidRDefault="00290B6E" w:rsidP="00290B6E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14:paraId="2DDF2BB8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659CF9B3" w14:textId="7B13E6F0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proofErr w:type="gramStart"/>
            <w:r w:rsidRPr="00A23C89">
              <w:t>North East</w:t>
            </w:r>
            <w:proofErr w:type="gramEnd"/>
            <w:r w:rsidRPr="00A23C89">
              <w:t xml:space="preserve"> Uni Connect Programme (</w:t>
            </w:r>
            <w:proofErr w:type="spellStart"/>
            <w:r w:rsidRPr="00A23C89">
              <w:t>FutureMe</w:t>
            </w:r>
            <w:proofErr w:type="spellEnd"/>
            <w:r w:rsidRPr="00A23C89">
              <w:t>)</w:t>
            </w:r>
          </w:p>
        </w:tc>
      </w:tr>
      <w:tr w:rsidR="00290B6E" w14:paraId="416A5601" w14:textId="77777777" w:rsidTr="00640E3E">
        <w:tc>
          <w:tcPr>
            <w:tcW w:w="3005" w:type="dxa"/>
          </w:tcPr>
          <w:p w14:paraId="44679078" w14:textId="77777777" w:rsidR="00290B6E" w:rsidRDefault="00290B6E" w:rsidP="00290B6E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14:paraId="541E3744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263B0638" w14:textId="458F79ED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 xml:space="preserve">Next Steps </w:t>
            </w:r>
            <w:proofErr w:type="gramStart"/>
            <w:r w:rsidRPr="00A23C89">
              <w:t>South West</w:t>
            </w:r>
            <w:proofErr w:type="gramEnd"/>
          </w:p>
        </w:tc>
      </w:tr>
      <w:tr w:rsidR="00290B6E" w14:paraId="636D9D05" w14:textId="77777777" w:rsidTr="00640E3E">
        <w:tc>
          <w:tcPr>
            <w:tcW w:w="3005" w:type="dxa"/>
          </w:tcPr>
          <w:p w14:paraId="352484D9" w14:textId="77777777" w:rsidR="00290B6E" w:rsidRDefault="00290B6E" w:rsidP="00290B6E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14:paraId="55094435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5F8A9B1D" w14:textId="2C4552F0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Shaping Futures</w:t>
            </w:r>
          </w:p>
        </w:tc>
      </w:tr>
      <w:tr w:rsidR="00290B6E" w14:paraId="1BB259A6" w14:textId="77777777" w:rsidTr="00640E3E">
        <w:tc>
          <w:tcPr>
            <w:tcW w:w="3005" w:type="dxa"/>
          </w:tcPr>
          <w:p w14:paraId="45A4BCF9" w14:textId="77777777" w:rsidR="00290B6E" w:rsidRDefault="00290B6E" w:rsidP="00290B6E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14:paraId="5BF27F23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01044406" w14:textId="7A8B92DB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Southern Universities Network</w:t>
            </w:r>
          </w:p>
        </w:tc>
      </w:tr>
      <w:tr w:rsidR="00290B6E" w14:paraId="72FE6DEB" w14:textId="77777777" w:rsidTr="00640E3E">
        <w:tc>
          <w:tcPr>
            <w:tcW w:w="3005" w:type="dxa"/>
          </w:tcPr>
          <w:p w14:paraId="06E36614" w14:textId="77777777" w:rsidR="00290B6E" w:rsidRDefault="00290B6E" w:rsidP="00290B6E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14:paraId="5CCFB1C1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26E32490" w14:textId="578DDB4F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Study Higher</w:t>
            </w:r>
          </w:p>
        </w:tc>
      </w:tr>
      <w:tr w:rsidR="00290B6E" w14:paraId="7AF2825D" w14:textId="77777777" w:rsidTr="00640E3E">
        <w:tc>
          <w:tcPr>
            <w:tcW w:w="3005" w:type="dxa"/>
          </w:tcPr>
          <w:p w14:paraId="6B371BE8" w14:textId="77777777" w:rsidR="00290B6E" w:rsidRDefault="00290B6E" w:rsidP="00290B6E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14:paraId="3C36865F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12CDC45B" w14:textId="78235A5C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Sussex Learning Network</w:t>
            </w:r>
          </w:p>
        </w:tc>
      </w:tr>
      <w:tr w:rsidR="00290B6E" w14:paraId="3F15DDF9" w14:textId="77777777" w:rsidTr="00640E3E">
        <w:tc>
          <w:tcPr>
            <w:tcW w:w="3005" w:type="dxa"/>
          </w:tcPr>
          <w:p w14:paraId="1F7F3E38" w14:textId="77777777" w:rsidR="00290B6E" w:rsidRDefault="00290B6E" w:rsidP="00290B6E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14:paraId="6F82A54F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020CC608" w14:textId="7F4E7481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The Higher Education Outreach Network (HEON)</w:t>
            </w:r>
          </w:p>
        </w:tc>
      </w:tr>
      <w:tr w:rsidR="00290B6E" w14:paraId="725043F8" w14:textId="77777777" w:rsidTr="00640E3E">
        <w:tc>
          <w:tcPr>
            <w:tcW w:w="3005" w:type="dxa"/>
          </w:tcPr>
          <w:p w14:paraId="65B6CC72" w14:textId="77777777" w:rsidR="00290B6E" w:rsidRDefault="00290B6E" w:rsidP="00290B6E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14:paraId="30CE0DF4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6BFA09A1" w14:textId="7FD86714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Think Higher</w:t>
            </w:r>
          </w:p>
        </w:tc>
      </w:tr>
      <w:tr w:rsidR="00290B6E" w14:paraId="0D572F98" w14:textId="77777777" w:rsidTr="00640E3E">
        <w:tc>
          <w:tcPr>
            <w:tcW w:w="3005" w:type="dxa"/>
          </w:tcPr>
          <w:p w14:paraId="3E59B13F" w14:textId="77777777" w:rsidR="00290B6E" w:rsidRDefault="00290B6E" w:rsidP="00290B6E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14:paraId="11F1A18B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7DCF1B4C" w14:textId="2BF771F6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A23C89">
              <w:t>Wessex Inspiration Network</w:t>
            </w:r>
          </w:p>
        </w:tc>
      </w:tr>
      <w:tr w:rsidR="00290B6E" w14:paraId="77237CEC" w14:textId="77777777" w:rsidTr="00640E3E">
        <w:tc>
          <w:tcPr>
            <w:tcW w:w="3005" w:type="dxa"/>
          </w:tcPr>
          <w:p w14:paraId="3EF24DA5" w14:textId="77777777" w:rsidR="00290B6E" w:rsidRDefault="00290B6E" w:rsidP="00290B6E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14:paraId="70998296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4C33B7EA" w14:textId="4EDBC268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7943FF">
              <w:t>Brightside Trust</w:t>
            </w:r>
          </w:p>
        </w:tc>
      </w:tr>
      <w:tr w:rsidR="00290B6E" w14:paraId="196E1157" w14:textId="77777777" w:rsidTr="00640E3E">
        <w:tc>
          <w:tcPr>
            <w:tcW w:w="3005" w:type="dxa"/>
          </w:tcPr>
          <w:p w14:paraId="77E4B549" w14:textId="77777777" w:rsidR="00290B6E" w:rsidRDefault="00290B6E" w:rsidP="00290B6E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14:paraId="1C0BBA7E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08FE28C0" w14:textId="5FBDFA0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proofErr w:type="spellStart"/>
            <w:r w:rsidRPr="007943FF">
              <w:t>IntoUniversity</w:t>
            </w:r>
            <w:proofErr w:type="spellEnd"/>
          </w:p>
        </w:tc>
      </w:tr>
      <w:tr w:rsidR="00290B6E" w14:paraId="2AC1421C" w14:textId="77777777" w:rsidTr="00640E3E">
        <w:tc>
          <w:tcPr>
            <w:tcW w:w="3005" w:type="dxa"/>
          </w:tcPr>
          <w:p w14:paraId="68A529EC" w14:textId="77777777" w:rsidR="00290B6E" w:rsidRDefault="00290B6E" w:rsidP="00290B6E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14:paraId="234622DF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54B47A36" w14:textId="162DCE1D" w:rsidR="00290B6E" w:rsidRPr="00A23C89" w:rsidRDefault="00290B6E" w:rsidP="00290B6E">
            <w:pPr>
              <w:spacing w:before="100" w:beforeAutospacing="1" w:after="100" w:afterAutospacing="1"/>
              <w:contextualSpacing/>
              <w:rPr>
                <w:i/>
                <w:iCs/>
              </w:rPr>
            </w:pPr>
            <w:r w:rsidRPr="007943FF">
              <w:t>Realising Opportunities</w:t>
            </w:r>
          </w:p>
        </w:tc>
      </w:tr>
      <w:tr w:rsidR="00290B6E" w14:paraId="3A0FA0F6" w14:textId="77777777" w:rsidTr="00640E3E">
        <w:tc>
          <w:tcPr>
            <w:tcW w:w="3005" w:type="dxa"/>
          </w:tcPr>
          <w:p w14:paraId="74114FB9" w14:textId="77777777" w:rsidR="00290B6E" w:rsidRDefault="00290B6E" w:rsidP="00290B6E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14:paraId="572C5FBF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5C6216C0" w14:textId="7648F3C4" w:rsidR="00290B6E" w:rsidRPr="00A23C89" w:rsidRDefault="00290B6E" w:rsidP="00290B6E">
            <w:pPr>
              <w:spacing w:before="100" w:beforeAutospacing="1" w:after="100" w:afterAutospacing="1"/>
              <w:contextualSpacing/>
              <w:rPr>
                <w:i/>
                <w:iCs/>
              </w:rPr>
            </w:pPr>
            <w:r w:rsidRPr="007943FF">
              <w:t>The Brilliant Club</w:t>
            </w:r>
          </w:p>
        </w:tc>
      </w:tr>
      <w:tr w:rsidR="00290B6E" w14:paraId="1B1B1956" w14:textId="77777777" w:rsidTr="00640E3E">
        <w:tc>
          <w:tcPr>
            <w:tcW w:w="3005" w:type="dxa"/>
          </w:tcPr>
          <w:p w14:paraId="20219395" w14:textId="77777777" w:rsidR="00290B6E" w:rsidRDefault="00290B6E" w:rsidP="00290B6E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14:paraId="43278096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5D7CE2F1" w14:textId="67BCA01C" w:rsidR="00290B6E" w:rsidRPr="00A23C89" w:rsidRDefault="00290B6E" w:rsidP="00290B6E">
            <w:pPr>
              <w:spacing w:before="100" w:beforeAutospacing="1" w:after="100" w:afterAutospacing="1"/>
              <w:contextualSpacing/>
              <w:rPr>
                <w:i/>
                <w:iCs/>
              </w:rPr>
            </w:pPr>
            <w:r w:rsidRPr="007943FF">
              <w:t>The Sutton Trust</w:t>
            </w:r>
          </w:p>
        </w:tc>
      </w:tr>
      <w:tr w:rsidR="00290B6E" w14:paraId="3EA4E7D4" w14:textId="77777777" w:rsidTr="00640E3E">
        <w:tc>
          <w:tcPr>
            <w:tcW w:w="3005" w:type="dxa"/>
          </w:tcPr>
          <w:p w14:paraId="2288CA53" w14:textId="77777777" w:rsidR="00290B6E" w:rsidRDefault="00290B6E" w:rsidP="00290B6E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14:paraId="74C69C8E" w14:textId="77777777" w:rsidR="00290B6E" w:rsidRDefault="00290B6E" w:rsidP="00290B6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006" w:type="dxa"/>
          </w:tcPr>
          <w:p w14:paraId="0270DB97" w14:textId="4A574064" w:rsidR="00290B6E" w:rsidRPr="00A23C89" w:rsidRDefault="00290B6E" w:rsidP="00290B6E">
            <w:pPr>
              <w:spacing w:before="100" w:beforeAutospacing="1" w:after="100" w:afterAutospacing="1"/>
              <w:contextualSpacing/>
              <w:rPr>
                <w:i/>
                <w:iCs/>
              </w:rPr>
            </w:pPr>
            <w:r w:rsidRPr="007943FF">
              <w:t>The Access Project</w:t>
            </w:r>
          </w:p>
        </w:tc>
      </w:tr>
    </w:tbl>
    <w:p w14:paraId="53B1B11B" w14:textId="77777777" w:rsidR="00640E3E" w:rsidRDefault="00640E3E" w:rsidP="00535242">
      <w:pPr>
        <w:spacing w:before="100" w:beforeAutospacing="1" w:after="100" w:afterAutospacing="1" w:line="240" w:lineRule="auto"/>
        <w:contextualSpacing/>
        <w:rPr>
          <w:b/>
          <w:bCs/>
        </w:rPr>
      </w:pPr>
    </w:p>
    <w:p w14:paraId="07EF0813" w14:textId="77777777" w:rsidR="00C14092" w:rsidRDefault="00C14092"/>
    <w:sectPr w:rsidR="00C1409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4C177" w14:textId="77777777" w:rsidR="00A75460" w:rsidRDefault="00A75460">
      <w:pPr>
        <w:spacing w:after="0" w:line="240" w:lineRule="auto"/>
      </w:pPr>
      <w:r>
        <w:separator/>
      </w:r>
    </w:p>
  </w:endnote>
  <w:endnote w:type="continuationSeparator" w:id="0">
    <w:p w14:paraId="7BF1CBA9" w14:textId="77777777" w:rsidR="00A75460" w:rsidRDefault="00A75460">
      <w:pPr>
        <w:spacing w:after="0" w:line="240" w:lineRule="auto"/>
      </w:pPr>
      <w:r>
        <w:continuationSeparator/>
      </w:r>
    </w:p>
  </w:endnote>
  <w:endnote w:type="continuationNotice" w:id="1">
    <w:p w14:paraId="719203E5" w14:textId="77777777" w:rsidR="00A75460" w:rsidRDefault="00A754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4FC9" w14:textId="77777777" w:rsidR="00CF20CF" w:rsidRDefault="00AD0652" w:rsidP="00CF20CF">
    <w:pPr>
      <w:pStyle w:val="Footer"/>
      <w:ind w:right="440"/>
    </w:pPr>
    <w:r>
      <w:t xml:space="preserve">National Outreach Coverage Project: Supporting Information, September 2021           Page </w:t>
    </w:r>
    <w:sdt>
      <w:sdtPr>
        <w:id w:val="-221012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8</w:t>
        </w:r>
      </w:sdtContent>
    </w:sdt>
  </w:p>
  <w:p w14:paraId="36CCC064" w14:textId="77777777" w:rsidR="00CF20CF" w:rsidRDefault="00A75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5AE1" w14:textId="77777777" w:rsidR="00A75460" w:rsidRDefault="00A75460">
      <w:pPr>
        <w:spacing w:after="0" w:line="240" w:lineRule="auto"/>
      </w:pPr>
      <w:r>
        <w:separator/>
      </w:r>
    </w:p>
  </w:footnote>
  <w:footnote w:type="continuationSeparator" w:id="0">
    <w:p w14:paraId="44647DC1" w14:textId="77777777" w:rsidR="00A75460" w:rsidRDefault="00A75460">
      <w:pPr>
        <w:spacing w:after="0" w:line="240" w:lineRule="auto"/>
      </w:pPr>
      <w:r>
        <w:continuationSeparator/>
      </w:r>
    </w:p>
  </w:footnote>
  <w:footnote w:type="continuationNotice" w:id="1">
    <w:p w14:paraId="50BFEFD9" w14:textId="77777777" w:rsidR="00A75460" w:rsidRDefault="00A7546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24FD6"/>
    <w:multiLevelType w:val="hybridMultilevel"/>
    <w:tmpl w:val="2EBC5D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8E403D"/>
    <w:multiLevelType w:val="hybridMultilevel"/>
    <w:tmpl w:val="395CD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06625"/>
    <w:multiLevelType w:val="hybridMultilevel"/>
    <w:tmpl w:val="D0062E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E57A07"/>
    <w:multiLevelType w:val="hybridMultilevel"/>
    <w:tmpl w:val="2EBC5D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42"/>
    <w:rsid w:val="00002919"/>
    <w:rsid w:val="0001336F"/>
    <w:rsid w:val="000565FF"/>
    <w:rsid w:val="00067246"/>
    <w:rsid w:val="00070348"/>
    <w:rsid w:val="000715D7"/>
    <w:rsid w:val="0008086B"/>
    <w:rsid w:val="00082E48"/>
    <w:rsid w:val="000A70BA"/>
    <w:rsid w:val="000B7367"/>
    <w:rsid w:val="000C4B64"/>
    <w:rsid w:val="000C707A"/>
    <w:rsid w:val="000D707D"/>
    <w:rsid w:val="000D723C"/>
    <w:rsid w:val="000E7D2E"/>
    <w:rsid w:val="00106B3D"/>
    <w:rsid w:val="00113ECE"/>
    <w:rsid w:val="0011618A"/>
    <w:rsid w:val="00117044"/>
    <w:rsid w:val="001461FD"/>
    <w:rsid w:val="00171EB0"/>
    <w:rsid w:val="00195C27"/>
    <w:rsid w:val="001A2D71"/>
    <w:rsid w:val="001D5C08"/>
    <w:rsid w:val="001E3023"/>
    <w:rsid w:val="001E3758"/>
    <w:rsid w:val="00204802"/>
    <w:rsid w:val="0021224A"/>
    <w:rsid w:val="00220502"/>
    <w:rsid w:val="00227FB9"/>
    <w:rsid w:val="002518A6"/>
    <w:rsid w:val="0025538F"/>
    <w:rsid w:val="002620AC"/>
    <w:rsid w:val="00265FB2"/>
    <w:rsid w:val="002733CD"/>
    <w:rsid w:val="00290B6E"/>
    <w:rsid w:val="002C73FF"/>
    <w:rsid w:val="002D7679"/>
    <w:rsid w:val="003019FF"/>
    <w:rsid w:val="003070DA"/>
    <w:rsid w:val="00361CDE"/>
    <w:rsid w:val="003641B1"/>
    <w:rsid w:val="00366891"/>
    <w:rsid w:val="00391347"/>
    <w:rsid w:val="00391B6B"/>
    <w:rsid w:val="003A28CF"/>
    <w:rsid w:val="003B6B5C"/>
    <w:rsid w:val="003E5034"/>
    <w:rsid w:val="003F7970"/>
    <w:rsid w:val="00402BAA"/>
    <w:rsid w:val="00416BA6"/>
    <w:rsid w:val="00416DD9"/>
    <w:rsid w:val="00422754"/>
    <w:rsid w:val="0046716C"/>
    <w:rsid w:val="004A288C"/>
    <w:rsid w:val="004A2DEB"/>
    <w:rsid w:val="004A60AE"/>
    <w:rsid w:val="004B1B22"/>
    <w:rsid w:val="004C01AA"/>
    <w:rsid w:val="004D663C"/>
    <w:rsid w:val="005027EC"/>
    <w:rsid w:val="005107D1"/>
    <w:rsid w:val="00512D59"/>
    <w:rsid w:val="00535242"/>
    <w:rsid w:val="00543043"/>
    <w:rsid w:val="00543D15"/>
    <w:rsid w:val="005510CC"/>
    <w:rsid w:val="005512E9"/>
    <w:rsid w:val="00552D4D"/>
    <w:rsid w:val="00571171"/>
    <w:rsid w:val="00581EF8"/>
    <w:rsid w:val="005848AB"/>
    <w:rsid w:val="005949FF"/>
    <w:rsid w:val="005A227D"/>
    <w:rsid w:val="005B1819"/>
    <w:rsid w:val="005B7DE7"/>
    <w:rsid w:val="005D339E"/>
    <w:rsid w:val="005E7928"/>
    <w:rsid w:val="005F2A49"/>
    <w:rsid w:val="00604C5F"/>
    <w:rsid w:val="006155F1"/>
    <w:rsid w:val="00620441"/>
    <w:rsid w:val="0062729C"/>
    <w:rsid w:val="0063380F"/>
    <w:rsid w:val="00640BAF"/>
    <w:rsid w:val="00640E3E"/>
    <w:rsid w:val="00643FD6"/>
    <w:rsid w:val="00665774"/>
    <w:rsid w:val="00677AFD"/>
    <w:rsid w:val="006A0298"/>
    <w:rsid w:val="006A2558"/>
    <w:rsid w:val="006B5DED"/>
    <w:rsid w:val="006D1570"/>
    <w:rsid w:val="006E6723"/>
    <w:rsid w:val="006F3D1C"/>
    <w:rsid w:val="006F5BA5"/>
    <w:rsid w:val="00731F24"/>
    <w:rsid w:val="007349C7"/>
    <w:rsid w:val="00741B51"/>
    <w:rsid w:val="00741E56"/>
    <w:rsid w:val="0076237A"/>
    <w:rsid w:val="00781741"/>
    <w:rsid w:val="007838C0"/>
    <w:rsid w:val="00784804"/>
    <w:rsid w:val="007853A7"/>
    <w:rsid w:val="007A06A0"/>
    <w:rsid w:val="007B0B85"/>
    <w:rsid w:val="007B45B0"/>
    <w:rsid w:val="007C5D05"/>
    <w:rsid w:val="007E7466"/>
    <w:rsid w:val="007F24DC"/>
    <w:rsid w:val="007F7D65"/>
    <w:rsid w:val="00814B51"/>
    <w:rsid w:val="008262CE"/>
    <w:rsid w:val="00844D83"/>
    <w:rsid w:val="008459DE"/>
    <w:rsid w:val="008533AD"/>
    <w:rsid w:val="00876B61"/>
    <w:rsid w:val="00876C09"/>
    <w:rsid w:val="00894411"/>
    <w:rsid w:val="008955B6"/>
    <w:rsid w:val="008B5FC7"/>
    <w:rsid w:val="008D0A32"/>
    <w:rsid w:val="008D16BA"/>
    <w:rsid w:val="008F4193"/>
    <w:rsid w:val="009006F7"/>
    <w:rsid w:val="009228A8"/>
    <w:rsid w:val="00922D4F"/>
    <w:rsid w:val="00930DF4"/>
    <w:rsid w:val="00950075"/>
    <w:rsid w:val="00950AC5"/>
    <w:rsid w:val="00974983"/>
    <w:rsid w:val="00986B44"/>
    <w:rsid w:val="0099632E"/>
    <w:rsid w:val="009A3765"/>
    <w:rsid w:val="009B0286"/>
    <w:rsid w:val="009C39E1"/>
    <w:rsid w:val="009D023A"/>
    <w:rsid w:val="00A4089F"/>
    <w:rsid w:val="00A526CE"/>
    <w:rsid w:val="00A56B3C"/>
    <w:rsid w:val="00A572BF"/>
    <w:rsid w:val="00A67F1D"/>
    <w:rsid w:val="00A706A3"/>
    <w:rsid w:val="00A75460"/>
    <w:rsid w:val="00A91910"/>
    <w:rsid w:val="00A97E7C"/>
    <w:rsid w:val="00AA3AAC"/>
    <w:rsid w:val="00AB2142"/>
    <w:rsid w:val="00AB40A3"/>
    <w:rsid w:val="00AC419D"/>
    <w:rsid w:val="00AD0652"/>
    <w:rsid w:val="00AE1ACD"/>
    <w:rsid w:val="00AE5F6E"/>
    <w:rsid w:val="00AF3250"/>
    <w:rsid w:val="00AF402D"/>
    <w:rsid w:val="00AF551E"/>
    <w:rsid w:val="00AF558E"/>
    <w:rsid w:val="00AF6BBB"/>
    <w:rsid w:val="00AF76E9"/>
    <w:rsid w:val="00B17211"/>
    <w:rsid w:val="00B25A2D"/>
    <w:rsid w:val="00B27127"/>
    <w:rsid w:val="00B3193D"/>
    <w:rsid w:val="00B43E3F"/>
    <w:rsid w:val="00B45ACC"/>
    <w:rsid w:val="00B70063"/>
    <w:rsid w:val="00B80F2A"/>
    <w:rsid w:val="00B9726C"/>
    <w:rsid w:val="00BB01ED"/>
    <w:rsid w:val="00BB348E"/>
    <w:rsid w:val="00BF6941"/>
    <w:rsid w:val="00C14092"/>
    <w:rsid w:val="00C16EDA"/>
    <w:rsid w:val="00C17301"/>
    <w:rsid w:val="00C20B19"/>
    <w:rsid w:val="00C26550"/>
    <w:rsid w:val="00C51318"/>
    <w:rsid w:val="00C72D82"/>
    <w:rsid w:val="00C91093"/>
    <w:rsid w:val="00C95A7B"/>
    <w:rsid w:val="00CA2830"/>
    <w:rsid w:val="00CB6732"/>
    <w:rsid w:val="00CC5762"/>
    <w:rsid w:val="00CD201D"/>
    <w:rsid w:val="00CD3469"/>
    <w:rsid w:val="00CD55B8"/>
    <w:rsid w:val="00D10C9C"/>
    <w:rsid w:val="00D222AC"/>
    <w:rsid w:val="00D313F0"/>
    <w:rsid w:val="00D54B11"/>
    <w:rsid w:val="00DA4C0B"/>
    <w:rsid w:val="00DB04C7"/>
    <w:rsid w:val="00DC7320"/>
    <w:rsid w:val="00DD67A8"/>
    <w:rsid w:val="00DE4C21"/>
    <w:rsid w:val="00E30AB7"/>
    <w:rsid w:val="00E43E23"/>
    <w:rsid w:val="00E4725A"/>
    <w:rsid w:val="00E67522"/>
    <w:rsid w:val="00E81CB9"/>
    <w:rsid w:val="00E84D71"/>
    <w:rsid w:val="00E908C1"/>
    <w:rsid w:val="00E9101A"/>
    <w:rsid w:val="00E926E7"/>
    <w:rsid w:val="00EA7D73"/>
    <w:rsid w:val="00EB7889"/>
    <w:rsid w:val="00ED65CF"/>
    <w:rsid w:val="00EF6148"/>
    <w:rsid w:val="00F02D53"/>
    <w:rsid w:val="00F06549"/>
    <w:rsid w:val="00F101A9"/>
    <w:rsid w:val="00F12A93"/>
    <w:rsid w:val="00F30206"/>
    <w:rsid w:val="00F41D8C"/>
    <w:rsid w:val="00F67116"/>
    <w:rsid w:val="00F724FC"/>
    <w:rsid w:val="00F81678"/>
    <w:rsid w:val="00F85F0E"/>
    <w:rsid w:val="00F92298"/>
    <w:rsid w:val="00FA48C4"/>
    <w:rsid w:val="00FA66F8"/>
    <w:rsid w:val="00FB4E2E"/>
    <w:rsid w:val="00FC1CCD"/>
    <w:rsid w:val="00FD19D0"/>
    <w:rsid w:val="00FE0E99"/>
    <w:rsid w:val="00FE228E"/>
    <w:rsid w:val="00FE4537"/>
    <w:rsid w:val="00FF3DA0"/>
    <w:rsid w:val="07CE7C86"/>
    <w:rsid w:val="35BE124D"/>
    <w:rsid w:val="562396B8"/>
    <w:rsid w:val="67EA387F"/>
    <w:rsid w:val="79AAC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CE8AA"/>
  <w15:chartTrackingRefBased/>
  <w15:docId w15:val="{D3145818-690F-4DA8-8343-6FFF488D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242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2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35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242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53524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6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DD9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DD9"/>
    <w:rPr>
      <w:rFonts w:eastAsiaTheme="minorEastAsia"/>
      <w:b/>
      <w:bCs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unhideWhenUsed/>
    <w:rsid w:val="00A4089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4089F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0C7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07A"/>
    <w:rPr>
      <w:rFonts w:eastAsiaTheme="minorEastAsia"/>
      <w:lang w:eastAsia="zh-CN"/>
    </w:rPr>
  </w:style>
  <w:style w:type="table" w:styleId="TableGrid">
    <w:name w:val="Table Grid"/>
    <w:basedOn w:val="TableNormal"/>
    <w:uiPriority w:val="39"/>
    <w:rsid w:val="0064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27F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7FB9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wprep.ac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imhigherwm.ac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taso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uidance/get-information-about-schools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7D980914AA5478D29013AD53DBBD9" ma:contentTypeVersion="13" ma:contentTypeDescription="Create a new document." ma:contentTypeScope="" ma:versionID="bdcb9f5a1350767cf538319d5aeff3f8">
  <xsd:schema xmlns:xsd="http://www.w3.org/2001/XMLSchema" xmlns:xs="http://www.w3.org/2001/XMLSchema" xmlns:p="http://schemas.microsoft.com/office/2006/metadata/properties" xmlns:ns2="36e4e63b-7d1b-4376-8db4-7f9ea6857cc5" xmlns:ns3="6ca76f91-2959-42dd-82df-4b199f2497a3" targetNamespace="http://schemas.microsoft.com/office/2006/metadata/properties" ma:root="true" ma:fieldsID="565849144aa795898d0712e8bf73bbce" ns2:_="" ns3:_="">
    <xsd:import namespace="36e4e63b-7d1b-4376-8db4-7f9ea6857cc5"/>
    <xsd:import namespace="6ca76f91-2959-42dd-82df-4b199f2497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4e63b-7d1b-4376-8db4-7f9ea6857c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76f91-2959-42dd-82df-4b199f249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98DDF4-CDD7-483A-9C01-4B37C718E88E}"/>
</file>

<file path=customXml/itemProps2.xml><?xml version="1.0" encoding="utf-8"?>
<ds:datastoreItem xmlns:ds="http://schemas.openxmlformats.org/officeDocument/2006/customXml" ds:itemID="{A681B22A-BFA6-402E-B544-4D4A78676813}"/>
</file>

<file path=customXml/itemProps3.xml><?xml version="1.0" encoding="utf-8"?>
<ds:datastoreItem xmlns:ds="http://schemas.openxmlformats.org/officeDocument/2006/customXml" ds:itemID="{F753EFEE-129A-40A3-AE63-F51A1562FE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2573</Words>
  <Characters>14667</Characters>
  <Application>Microsoft Office Word</Application>
  <DocSecurity>0</DocSecurity>
  <Lines>122</Lines>
  <Paragraphs>34</Paragraphs>
  <ScaleCrop>false</ScaleCrop>
  <Company/>
  <LinksUpToDate>false</LinksUpToDate>
  <CharactersWithSpaces>17206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Henrietta Fordham</dc:creator>
  <cp:keywords/>
  <dc:description/>
  <cp:lastModifiedBy>Anna Anthony</cp:lastModifiedBy>
  <cp:revision>2</cp:revision>
  <dcterms:created xsi:type="dcterms:W3CDTF">2021-09-30T12:05:00Z</dcterms:created>
  <dcterms:modified xsi:type="dcterms:W3CDTF">2021-09-30T12:05:00Z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0x0101008C07D980914AA5478D29013AD53DBBD9</vt:lpwstr>
  </property>
</Properties>
</file>